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00" w:rsidRDefault="00E706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сентября 2014 г. N 671н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ПРОФЕССИОНАЛЬНО-ОБЩЕСТВЕННОГО ОБСУЖДЕНИЯ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ЭКСПЕРТИЗЫ ПРОЕКТОВ ПРОФЕССИОНАЛЬНЫХ СТАНДАРТОВ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Pr="006206CA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</w:t>
      </w:r>
      <w:r w:rsidRPr="006206CA">
        <w:t xml:space="preserve">с </w:t>
      </w:r>
      <w:hyperlink r:id="rId4" w:history="1">
        <w:r w:rsidRPr="006206CA">
          <w:t>пунктом 2</w:t>
        </w:r>
      </w:hyperlink>
      <w:r w:rsidRPr="006206CA"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 w:rsidRPr="006206CA">
        <w:t xml:space="preserve">Утвердить </w:t>
      </w:r>
      <w:hyperlink w:anchor="Par28" w:history="1">
        <w:r w:rsidRPr="006206CA">
          <w:t>методические рекомендации</w:t>
        </w:r>
      </w:hyperlink>
      <w:r w:rsidRPr="006206CA">
        <w:t xml:space="preserve"> по организации профессионально-общественного обсуждения и экспертизы</w:t>
      </w:r>
      <w:r>
        <w:t xml:space="preserve"> проектов профессиональных стандартов согласно приложению.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Не нуждается в государственной регистрации. Письмо Минюста России от 30 декабря 2014 г. N 01/123823-ЮЛ.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2"/>
      <w:bookmarkEnd w:id="2"/>
      <w:r>
        <w:lastRenderedPageBreak/>
        <w:t>Утверждены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приказом Министерства труда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от 30 сентября 2014 г. N 671н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МЕТОДИЧЕСКИЕ РЕКОМЕНДАЦИИ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ПРОВЕДЕНИЮ ПРОФЕССИОНАЛЬНО-ОБЩЕСТВЕННОГО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ОБСУЖДЕНИЯ И ОРГАНИЗАЦИИ ЭКСПЕРТИЗЫ ПРОЕКТОВ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ПРОФЕССИОНАЛЬНЫХ СТАНДАРТОВ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 w:rsidP="006206CA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4" w:name="Par33"/>
      <w:bookmarkEnd w:id="4"/>
      <w:r>
        <w:t>I. Общие положения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1. Методические рекомендации по организации профессионально-общественного обсуждения и экспертизы проектов профессиональных стандартов (далее - Рекомендации) подготовлены в </w:t>
      </w:r>
      <w:r w:rsidRPr="006206CA">
        <w:t xml:space="preserve">соответствии с </w:t>
      </w:r>
      <w:hyperlink r:id="rId5" w:history="1">
        <w:r w:rsidRPr="006206CA"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2. Рекомендации предназначены для оказания практической помощи разработчикам проектов профессиональных стандартов (далее - разработчик) при разработке проектов профессиональных стандартов.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3. Обсуждение проекта профессионального стандарта организуют: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а) совет по профессиональным квалификациям, наделенный в установленном порядке Национальным советом при Президенте Российской Федерации по профессиональным квалификациям, образованным в соответствии </w:t>
      </w:r>
      <w:r w:rsidRPr="006206CA">
        <w:t xml:space="preserve">с </w:t>
      </w:r>
      <w:hyperlink r:id="rId6" w:history="1">
        <w:r w:rsidRPr="006206CA">
          <w:t>Указом</w:t>
        </w:r>
      </w:hyperlink>
      <w:r w:rsidRPr="006206CA">
        <w:t xml:space="preserve"> Президента Российской Федерации от 16 апреля 2014 г. N 249</w:t>
      </w:r>
      <w:r>
        <w:t xml:space="preserve"> (Собрание законодательства Российской Федерации, 2014, N 16, ст. 1882), полномочиями организации, ответственной за разработку профессионального стандарта;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разработку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 может основываться на результате анализа рынка труда, включая: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lastRenderedPageBreak/>
        <w:t>оценку масштаба и структуры соответствующего сектора экономики или вида деятельности;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распределение организаций и работников по территории Российской Федерации, крупным, средним и малым предприятиям;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выявление основных профессий, должностей, специальностей и численности занятых по ним.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Организатор обсуждения может использовать другие показатели, подтверждающие участие в обсуждении представителей заинтересованных сторон.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К обсуждению рекомендуется также привлекать: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специалистов в соответствующей области профессиональной деятельности 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организаций;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победителей всероссийских конкурсов "Лучший по профессии", "Российская организация высокой социальной эффективности", национального чемпионата профессионального мастерства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", международного конкурса "</w:t>
      </w:r>
      <w:proofErr w:type="spellStart"/>
      <w:r>
        <w:t>WorldSkills</w:t>
      </w:r>
      <w:proofErr w:type="spellEnd"/>
      <w:r>
        <w:t>", других конкурсов профессионального мастерства, которые проводятся по занятиям, затрагиваемым проектом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6. В ходе обсуждения проекта профессионального стандарта могут рассматриваться: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а) полнота выделения и формулировки обобщенных трудовых функций и трудовых функций в профессиональном стандарте;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в) обоснованность и достаточность необходимых умений и знаний для выполнения работником соответствующих трудовых функций и трудовых действий;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г) обоснованность требований к уровню образования и практическому опыту работников;</w:t>
      </w:r>
    </w:p>
    <w:p w:rsidR="00E70600" w:rsidRPr="006206CA" w:rsidRDefault="00E70600">
      <w:pPr>
        <w:widowControl w:val="0"/>
        <w:autoSpaceDE w:val="0"/>
        <w:autoSpaceDN w:val="0"/>
        <w:adjustRightInd w:val="0"/>
        <w:ind w:firstLine="540"/>
      </w:pPr>
      <w:r w:rsidRPr="006206CA">
        <w:t>д)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</w:r>
      <w:hyperlink r:id="rId7" w:history="1">
        <w:r w:rsidRPr="006206CA">
          <w:t>ОКЗ</w:t>
        </w:r>
      </w:hyperlink>
      <w:r w:rsidRPr="006206CA">
        <w:t xml:space="preserve">, </w:t>
      </w:r>
      <w:hyperlink r:id="rId8" w:history="1">
        <w:r w:rsidRPr="006206CA">
          <w:t>ОКВЭД</w:t>
        </w:r>
      </w:hyperlink>
      <w:r w:rsidRPr="006206CA">
        <w:t xml:space="preserve">, </w:t>
      </w:r>
      <w:hyperlink r:id="rId9" w:history="1">
        <w:r w:rsidRPr="006206CA">
          <w:t>ОКПДТР</w:t>
        </w:r>
      </w:hyperlink>
      <w:r w:rsidRPr="006206CA">
        <w:t xml:space="preserve">, </w:t>
      </w:r>
      <w:hyperlink r:id="rId10" w:history="1">
        <w:r w:rsidRPr="006206CA">
          <w:t>ОКСО</w:t>
        </w:r>
      </w:hyperlink>
      <w:r w:rsidRPr="006206CA">
        <w:t>);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 w:rsidRPr="006206CA">
        <w:t>е) соответствие профессионального</w:t>
      </w:r>
      <w:r>
        <w:t xml:space="preserve"> стандарта нормативным правовым актам в данной сфере деятельности.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7. Рекомендуется в ходе обсуждения проекта профессионального стандарта оценить возможность его применения работодателями, а также при разработке или уточнении федеральных образовательных стандартов, основных </w:t>
      </w:r>
      <w:r>
        <w:lastRenderedPageBreak/>
        <w:t>профессиональных образовательных программ, основных и дополнительных программ профессионального обучения, сертификации квалификаций.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8. Обсуждение проекта профессионального стандарта может проводиться по выбору его организатора путем: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а) размещения проекта профессионального стандарта и сопроводительных материалов в сети Интернет на сайтах совета по профессиональным квалификациям,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(http://profstandart.ru), на сайтах других заинтересованных организаций;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организации специальных форумов в сети Интернет;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в) 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г) размещения информации о ходе разработки профессионального стандарта в средствах массовой информации;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д) публикации статей в специальных (отраслевых) изданиях, а также иными способами.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Результаты обсуждения проекта профессионального стандарта обобщаются организатором обсуждения и размещаются в сети Интернет. Информацию о завершении обсуждения проекта профессионального стандарта и его итогах рекомендуется довести до сведения участников обсуждения.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A6605" w:rsidRDefault="00AA6605"/>
    <w:sectPr w:rsidR="00AA6605" w:rsidSect="00CA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0"/>
    <w:rsid w:val="0009622C"/>
    <w:rsid w:val="00164E17"/>
    <w:rsid w:val="003313E4"/>
    <w:rsid w:val="00403324"/>
    <w:rsid w:val="004E3F2F"/>
    <w:rsid w:val="004F4426"/>
    <w:rsid w:val="006206CA"/>
    <w:rsid w:val="007463F2"/>
    <w:rsid w:val="007A6C03"/>
    <w:rsid w:val="008B08BD"/>
    <w:rsid w:val="00A26304"/>
    <w:rsid w:val="00AA6605"/>
    <w:rsid w:val="00BE6CD4"/>
    <w:rsid w:val="00D3435C"/>
    <w:rsid w:val="00DC4C2F"/>
    <w:rsid w:val="00E70600"/>
    <w:rsid w:val="00F8387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762F-465B-4E21-AD5F-481CF72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3A9969AD5D038F91D5582B6E4C2535CBFAE1273CFEECD4275A90B1DD3771B1DDAE1E95F2C6AABx8b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3A9969AD5D038F91D5582B6E4C2535CB8AC1C74CAEECD4275A90B1DxDb3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3A9969AD5D038F91D5582B6E4C2535CBFA81370CBEECD4275A90B1DxDb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43A9969AD5D038F91D5582B6E4C2535CBFA81870CBEECD4275A90B1DD3771B1DDAE1E95F2C6AA8x8b2O" TargetMode="External"/><Relationship Id="rId10" Type="http://schemas.openxmlformats.org/officeDocument/2006/relationships/hyperlink" Target="consultantplus://offline/ref=7F43A9969AD5D038F91D5582B6E4C2535CB8AC1376CDEECD4275A90B1DxDb3O" TargetMode="External"/><Relationship Id="rId4" Type="http://schemas.openxmlformats.org/officeDocument/2006/relationships/hyperlink" Target="consultantplus://offline/ref=7F43A9969AD5D038F91D5582B6E4C2535CBFA81870CBEECD4275A90B1DD3771B1DDAE1E95F2C6AA8x8b2O" TargetMode="External"/><Relationship Id="rId9" Type="http://schemas.openxmlformats.org/officeDocument/2006/relationships/hyperlink" Target="consultantplus://offline/ref=7F43A9969AD5D038F91D5582B6E4C2535CBAAC127BCBEECD4275A90B1DD3771B1DDAE1E95F2C6AABx8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Олейниченко Олег Иванович</cp:lastModifiedBy>
  <cp:revision>2</cp:revision>
  <dcterms:created xsi:type="dcterms:W3CDTF">2017-02-28T12:39:00Z</dcterms:created>
  <dcterms:modified xsi:type="dcterms:W3CDTF">2017-02-28T12:39:00Z</dcterms:modified>
</cp:coreProperties>
</file>