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style27"/>
        <w:pBdr>
          <w:top w:val="none"/>
          <w:left w:val="none"/>
          <w:bottom w:val="none"/>
          <w:right w:val="none"/>
        </w:pBdr>
        <w:spacing w:after="240" w:before="0"/>
        <w:ind w:hanging="0" w:right="-1" w:left="5812"/>
        <w:contextualSpacing/>
        <w:jc w:val="center"/>
      </w:pPr>
      <w:r>
        <w:rPr>
          <w:rFonts w:cs="Times New Roman" w:hAnsi="Times New Roman" w:ascii="Times New Roman"/>
          <w:sz w:val="28"/>
          <w:szCs w:val="28"/>
        </w:rPr>
        <w:t xml:space="preserve">УТВЕРЖДЕН </w:t>
      </w:r>
    </w:p>
    <w:p>
      <w:pPr>
        <w:pStyle w:val="style27"/>
        <w:pBdr>
          <w:top w:val="none"/>
          <w:left w:val="none"/>
          <w:bottom w:val="none"/>
          <w:right w:val="none"/>
        </w:pBdr>
        <w:spacing w:after="240" w:before="0"/>
        <w:ind w:hanging="0" w:right="-1" w:left="5812"/>
        <w:contextualSpacing/>
        <w:jc w:val="center"/>
      </w:pPr>
      <w:r>
        <w:rPr>
          <w:rFonts w:cs="Times New Roman" w:hAnsi="Times New Roman" w:ascii="Times New Roman"/>
          <w:sz w:val="28"/>
          <w:szCs w:val="28"/>
        </w:rPr>
        <w:t xml:space="preserve">приказом Министерства </w:t>
      </w:r>
    </w:p>
    <w:p>
      <w:pPr>
        <w:pStyle w:val="style27"/>
        <w:pBdr>
          <w:top w:val="none"/>
          <w:left w:val="none"/>
          <w:bottom w:val="none"/>
          <w:right w:val="none"/>
        </w:pBdr>
        <w:spacing w:after="240" w:before="0"/>
        <w:ind w:hanging="0" w:right="-1" w:left="5812"/>
        <w:contextualSpacing/>
        <w:jc w:val="center"/>
      </w:pPr>
      <w:r>
        <w:rPr>
          <w:rFonts w:cs="Times New Roman" w:hAnsi="Times New Roman" w:ascii="Times New Roman"/>
          <w:sz w:val="28"/>
          <w:szCs w:val="28"/>
        </w:rPr>
        <w:t xml:space="preserve">труда и социальной защиты </w:t>
      </w:r>
    </w:p>
    <w:p>
      <w:pPr>
        <w:pStyle w:val="style27"/>
        <w:pBdr>
          <w:top w:val="none"/>
          <w:left w:val="none"/>
          <w:bottom w:val="none"/>
          <w:right w:val="none"/>
        </w:pBdr>
        <w:spacing w:after="240" w:before="0"/>
        <w:ind w:hanging="0" w:right="-1" w:left="5812"/>
        <w:contextualSpacing/>
        <w:jc w:val="center"/>
      </w:pPr>
      <w:r>
        <w:rPr>
          <w:rFonts w:cs="Times New Roman" w:hAnsi="Times New Roman" w:ascii="Times New Roman"/>
          <w:sz w:val="28"/>
          <w:szCs w:val="28"/>
        </w:rPr>
        <w:t xml:space="preserve">Российской Федерации </w:t>
      </w:r>
    </w:p>
    <w:p>
      <w:pPr>
        <w:pStyle w:val="style27"/>
        <w:pBdr>
          <w:top w:val="none"/>
          <w:left w:val="none"/>
          <w:bottom w:val="none"/>
          <w:right w:val="none"/>
        </w:pBdr>
        <w:ind w:hanging="0" w:right="-1" w:left="5812"/>
      </w:pPr>
      <w:r>
        <w:rPr>
          <w:rFonts w:cs="Times New Roman" w:hAnsi="Times New Roman" w:ascii="Times New Roman"/>
          <w:sz w:val="28"/>
          <w:szCs w:val="28"/>
        </w:rPr>
        <w:t xml:space="preserve">       </w:t>
      </w:r>
      <w:r>
        <w:rPr>
          <w:rFonts w:cs="Times New Roman" w:hAnsi="Times New Roman" w:ascii="Times New Roman"/>
          <w:sz w:val="28"/>
          <w:szCs w:val="28"/>
        </w:rPr>
        <w:t>от «__» ______2013 г. №___</w:t>
      </w:r>
    </w:p>
    <w:p>
      <w:pPr>
        <w:pStyle w:val="style27"/>
        <w:pBdr>
          <w:top w:val="none"/>
          <w:left w:val="none"/>
          <w:bottom w:val="none"/>
          <w:right w:val="none"/>
        </w:pBdr>
        <w:spacing w:after="240" w:before="0"/>
        <w:ind w:hanging="0" w:right="851" w:left="0"/>
        <w:contextualSpacing/>
      </w:pPr>
      <w:r>
        <w:rPr/>
      </w:r>
    </w:p>
    <w:p>
      <w:pPr>
        <w:pStyle w:val="style27"/>
        <w:pBdr>
          <w:top w:val="none"/>
          <w:left w:val="none"/>
          <w:bottom w:val="none"/>
          <w:right w:val="none"/>
        </w:pBdr>
        <w:spacing w:after="240" w:before="0"/>
        <w:ind w:hanging="0" w:right="851" w:left="0"/>
        <w:contextualSpacing/>
      </w:pPr>
      <w:r>
        <w:rPr/>
      </w:r>
    </w:p>
    <w:p>
      <w:pPr>
        <w:pStyle w:val="style27"/>
        <w:pBdr>
          <w:top w:val="none"/>
          <w:left w:val="none"/>
          <w:bottom w:val="none"/>
          <w:right w:val="none"/>
        </w:pBdr>
        <w:spacing w:after="240" w:before="0"/>
        <w:ind w:hanging="0" w:right="851" w:left="0"/>
        <w:contextualSpacing/>
        <w:jc w:val="center"/>
      </w:pPr>
      <w:r>
        <w:rPr>
          <w:rFonts w:cs="Times New Roman" w:hAnsi="Times New Roman" w:ascii="Times New Roman"/>
          <w:sz w:val="48"/>
          <w:szCs w:val="48"/>
        </w:rPr>
        <w:t xml:space="preserve">ПРОФЕССИОНАЛЬНЫЙ </w:t>
      </w:r>
    </w:p>
    <w:p>
      <w:pPr>
        <w:pStyle w:val="style27"/>
        <w:pBdr>
          <w:top w:val="none"/>
          <w:left w:val="none"/>
          <w:bottom w:val="none"/>
          <w:right w:val="none"/>
        </w:pBdr>
        <w:spacing w:after="240" w:before="0"/>
        <w:ind w:hanging="0" w:right="851" w:left="0"/>
        <w:contextualSpacing/>
        <w:jc w:val="center"/>
      </w:pPr>
      <w:r>
        <w:rPr>
          <w:rFonts w:cs="Times New Roman" w:hAnsi="Times New Roman" w:ascii="Times New Roman"/>
          <w:sz w:val="48"/>
          <w:szCs w:val="48"/>
        </w:rPr>
        <w:t>СТАНДАРТ</w:t>
      </w:r>
      <w:r>
        <w:rPr>
          <w:rFonts w:cs="Times New Roman" w:hAnsi="Times New Roman" w:ascii="Times New Roman"/>
        </w:rPr>
        <w:t xml:space="preserve"> </w:t>
      </w:r>
    </w:p>
    <w:p>
      <w:pPr>
        <w:pStyle w:val="style0"/>
        <w:spacing w:lineRule="atLeast" w:line="100" w:after="0" w:before="0"/>
        <w:contextualSpacing w:val="false"/>
      </w:pPr>
      <w:r>
        <w:rPr/>
      </w:r>
    </w:p>
    <w:tbl>
      <w:tblPr>
        <w:jc w:val="left"/>
        <w:tblInd w:type="dxa" w:w="55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top w:type="dxa" w:w="55"/>
          <w:left w:type="dxa" w:w="55"/>
          <w:bottom w:type="dxa" w:w="55"/>
          <w:right w:type="dxa" w:w="55"/>
        </w:tblCellMar>
      </w:tblPr>
      <w:tblGrid>
        <w:gridCol w:w="9923"/>
      </w:tblGrid>
      <w:tr>
        <w:trPr>
          <w:cantSplit w:val="false"/>
        </w:trPr>
        <w:tc>
          <w:tcPr>
            <w:tcW w:type="dxa" w:w="9923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widowControl w:val="false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b/>
                <w:sz w:val="28"/>
                <w:szCs w:val="28"/>
              </w:rPr>
              <w:t>Специалист по организации персонифицированного учета пенсионных прав застрахованных лиц</w:t>
            </w:r>
          </w:p>
        </w:tc>
      </w:tr>
    </w:tbl>
    <w:p>
      <w:pPr>
        <w:pStyle w:val="style0"/>
        <w:spacing w:after="120" w:before="0"/>
        <w:contextualSpacing w:val="false"/>
      </w:pPr>
      <w:r>
        <w:rPr/>
      </w:r>
    </w:p>
    <w:tbl>
      <w:tblPr>
        <w:jc w:val="left"/>
        <w:tblInd w:type="dxa" w:w="7280"/>
        <w:tblBorders>
          <w:top w:space="0" w:sz="2" w:color="808080" w:val="single"/>
          <w:left w:space="0" w:sz="2" w:color="808080" w:val="single"/>
          <w:bottom w:space="0" w:sz="2" w:color="808080" w:val="single"/>
          <w:right w:space="0" w:sz="2" w:color="808080" w:val="single"/>
          <w:insideH w:space="0" w:sz="2" w:color="808080" w:val="single"/>
          <w:insideV w:space="0" w:sz="2" w:color="808080" w:val="single"/>
        </w:tblBorders>
        <w:tblCellMar>
          <w:top w:type="dxa" w:w="0"/>
          <w:left w:type="dxa" w:w="30"/>
          <w:bottom w:type="dxa" w:w="0"/>
          <w:right w:type="dxa" w:w="108"/>
        </w:tblCellMar>
      </w:tblPr>
      <w:tblGrid>
        <w:gridCol w:w="2260"/>
      </w:tblGrid>
      <w:tr>
        <w:trPr>
          <w:trHeight w:hRule="atLeast" w:val="399"/>
          <w:cantSplit w:val="false"/>
        </w:trPr>
        <w:tc>
          <w:tcPr>
            <w:tcW w:type="dxa" w:w="2260"/>
            <w:tcBorders>
              <w:top w:space="0" w:sz="2" w:color="808080" w:val="single"/>
              <w:left w:space="0" w:sz="2" w:color="808080" w:val="single"/>
              <w:bottom w:space="0" w:sz="2" w:color="808080" w:val="single"/>
              <w:right w:space="0" w:sz="2" w:color="808080" w:val="singl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571</w:t>
            </w:r>
          </w:p>
        </w:tc>
      </w:tr>
      <w:tr>
        <w:trPr>
          <w:trHeight w:hRule="atLeast" w:val="399"/>
          <w:cantSplit w:val="false"/>
        </w:trPr>
        <w:tc>
          <w:tcPr>
            <w:tcW w:type="dxa" w:w="2260"/>
            <w:tcBorders>
              <w:top w:space="0" w:sz="2" w:color="808080" w:val="single"/>
              <w:left w:val="none"/>
              <w:bottom w:val="none"/>
              <w:right w:val="none"/>
            </w:tcBorders>
            <w:shd w:fill="FFFFFF" w:val="clear"/>
            <w:tcMar>
              <w:left w:type="dxa" w:w="107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18"/>
              </w:rPr>
              <w:t>Регистрационный номер</w:t>
            </w:r>
          </w:p>
        </w:tc>
      </w:tr>
    </w:tbl>
    <w:p>
      <w:pPr>
        <w:pStyle w:val="style32"/>
        <w:numPr>
          <w:ilvl w:val="0"/>
          <w:numId w:val="1"/>
        </w:numPr>
        <w:spacing w:after="0" w:before="0"/>
        <w:contextualSpacing/>
      </w:pPr>
      <w:r>
        <w:rPr>
          <w:rFonts w:cs="Times New Roman" w:hAnsi="Times New Roman" w:ascii="Times New Roman"/>
          <w:b/>
          <w:sz w:val="28"/>
        </w:rPr>
        <w:t>Общие сведения</w:t>
      </w:r>
    </w:p>
    <w:p>
      <w:pPr>
        <w:pStyle w:val="style32"/>
        <w:spacing w:after="0" w:before="0"/>
        <w:contextualSpacing/>
      </w:pPr>
      <w:r>
        <w:rPr/>
      </w:r>
    </w:p>
    <w:p>
      <w:pPr>
        <w:pStyle w:val="style0"/>
        <w:spacing w:after="0" w:before="0"/>
        <w:contextualSpacing w:val="false"/>
      </w:pPr>
      <w:r>
        <w:rPr/>
      </w:r>
    </w:p>
    <w:tbl>
      <w:tblPr>
        <w:jc w:val="left"/>
        <w:tblInd w:type="dxa" w:w="-4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116"/>
        <w:gridCol w:w="602"/>
        <w:gridCol w:w="1441"/>
      </w:tblGrid>
      <w:tr>
        <w:trPr>
          <w:trHeight w:hRule="atLeast" w:val="437"/>
          <w:cantSplit w:val="false"/>
        </w:trPr>
        <w:tc>
          <w:tcPr>
            <w:tcW w:type="dxa" w:w="8116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Организация персонифицированного учета пенсионных прав застрахованных лиц</w:t>
            </w:r>
          </w:p>
        </w:tc>
        <w:tc>
          <w:tcPr>
            <w:tcW w:type="dxa" w:w="60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441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03.010</w:t>
            </w:r>
          </w:p>
        </w:tc>
      </w:tr>
      <w:tr>
        <w:trPr>
          <w:cantSplit w:val="false"/>
        </w:trPr>
        <w:tc>
          <w:tcPr>
            <w:tcW w:type="dxa" w:w="8717"/>
            <w:gridSpan w:val="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58_369042485" w:id="0"/>
            <w:bookmarkEnd w:id="0"/>
            <w:r>
              <w:rPr>
                <w:rFonts w:hAnsi="Times New Roman" w:ascii="Times New Roman"/>
              </w:rPr>
              <w:t/>
            </w:r>
          </w:p>
        </w:tc>
        <w:tc>
          <w:tcPr>
            <w:tcW w:type="dxa" w:w="1442"/>
            <w:tcBorders>
              <w:top w:space="0" w:sz="4" w:color="808080" w:val="singl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18"/>
                <w:szCs w:val="20"/>
              </w:rPr>
              <w:t>Код</w:t>
            </w:r>
          </w:p>
        </w:tc>
      </w:tr>
    </w:tbl>
    <w:p>
      <w:pPr>
        <w:pStyle w:val="style28"/>
      </w:pPr>
      <w:r>
        <w:rPr/>
      </w:r>
    </w:p>
    <w:tbl>
      <w:tblPr>
        <w:jc w:val="left"/>
        <w:tblInd w:type="dxa" w:w="-4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159"/>
      </w:tblGrid>
      <w:tr>
        <w:trPr>
          <w:trHeight w:hRule="atLeast" w:val="841"/>
          <w:cantSplit w:val="false"/>
        </w:trPr>
        <w:tc>
          <w:tcPr>
            <w:tcW w:type="dxa" w:w="10159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4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</w:rPr>
              <w:t>Основная цель вида профессиональной деятельности:</w:t>
            </w:r>
          </w:p>
        </w:tc>
      </w:tr>
      <w:tr>
        <w:trPr>
          <w:trHeight w:hRule="atLeast" w:val="1771"/>
          <w:cantSplit w:val="false"/>
        </w:trPr>
        <w:tc>
          <w:tcPr>
            <w:tcW w:type="dxa" w:w="10159"/>
            <w:tcBorders>
              <w:top w:space="0" w:sz="2" w:color="808080" w:val="single"/>
              <w:left w:space="0" w:sz="2" w:color="808080" w:val="single"/>
              <w:bottom w:space="0" w:sz="2" w:color="808080" w:val="single"/>
              <w:right w:space="0" w:sz="2" w:color="808080" w:val="single"/>
            </w:tcBorders>
            <w:shd w:fill="FFFFFF" w:val="clear"/>
            <w:tcMar>
              <w:left w:type="dxa" w:w="39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both"/>
            </w:pPr>
            <w:r>
              <w:rPr/>
            </w:r>
          </w:p>
        </w:tc>
      </w:tr>
    </w:tbl>
    <w:p>
      <w:pPr>
        <w:pStyle w:val="style28"/>
        <w:spacing w:after="0" w:before="0"/>
        <w:contextualSpacing/>
      </w:pPr>
      <w:r>
        <w:rPr/>
      </w:r>
    </w:p>
    <w:p>
      <w:pPr>
        <w:pStyle w:val="style28"/>
      </w:pPr>
      <w:r>
        <w:rPr/>
      </w:r>
    </w:p>
    <w:tbl>
      <w:tblPr>
        <w:jc w:val="left"/>
        <w:tblInd w:type="dxa" w:w="-3"/>
        <w:tblBorders>
          <w:top w:space="0" w:sz="2" w:color="808080" w:val="single"/>
          <w:left w:val="none"/>
          <w:bottom w:space="0" w:sz="2" w:color="808080" w:val="single"/>
          <w:right w:val="none"/>
          <w:insideH w:space="0" w:sz="2" w:color="808080" w:val="singl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118"/>
      </w:tblGrid>
      <w:tr>
        <w:trPr>
          <w:trHeight w:hRule="atLeast" w:val="691"/>
          <w:cantSplit w:val="false"/>
        </w:trPr>
        <w:tc>
          <w:tcPr>
            <w:tcW w:type="dxa" w:w="10118"/>
            <w:gridSpan w:val="4"/>
            <w:tcBorders>
              <w:top w:space="0" w:sz="2" w:color="808080" w:val="single"/>
              <w:left w:val="none"/>
              <w:bottom w:space="0" w:sz="2" w:color="808080" w:val="singl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</w:rPr>
              <w:t>Группа занятий:</w:t>
            </w:r>
          </w:p>
        </w:tc>
      </w:tr>
      <w:tr>
        <w:trPr>
          <w:trHeight w:hRule="atLeast" w:val="399"/>
          <w:cantSplit w:val="false"/>
        </w:trPr>
        <w:tc>
          <w:tcPr>
            <w:tcW w:type="dxa" w:w="1441"/>
            <w:tcBorders>
              <w:top w:space="0" w:sz="2" w:color="808080" w:val="single"/>
              <w:left w:space="0" w:sz="2" w:color="808080" w:val="single"/>
              <w:bottom w:space="0" w:sz="2" w:color="808080" w:val="single"/>
              <w:right w:val="non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112. </w:t>
            </w:r>
          </w:p>
        </w:tc>
        <w:tc>
          <w:tcPr>
            <w:tcW w:type="dxa" w:w="3440"/>
            <w:tcBorders>
              <w:top w:space="0" w:sz="2" w:color="808080" w:val="single"/>
              <w:left w:space="0" w:sz="2" w:color="808080" w:val="single"/>
              <w:bottom w:space="0" w:sz="2" w:color="808080" w:val="single"/>
              <w:right w:val="non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Руководители и старшие должностные лица государственных органов управления и представительств</w:t>
            </w:r>
          </w:p>
        </w:tc>
        <w:tc>
          <w:tcPr>
            <w:tcW w:type="dxa" w:w="1227"/>
            <w:tcBorders>
              <w:top w:space="0" w:sz="2" w:color="808080" w:val="single"/>
              <w:left w:space="0" w:sz="2" w:color="808080" w:val="single"/>
              <w:bottom w:space="0" w:sz="2" w:color="808080" w:val="single"/>
              <w:right w:val="non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/>
            </w:r>
          </w:p>
        </w:tc>
        <w:tc>
          <w:tcPr>
            <w:tcW w:type="dxa" w:w="4010"/>
            <w:tcBorders>
              <w:top w:space="0" w:sz="2" w:color="808080" w:val="single"/>
              <w:left w:space="0" w:sz="2" w:color="808080" w:val="single"/>
              <w:bottom w:space="0" w:sz="2" w:color="808080" w:val="single"/>
              <w:right w:space="0" w:sz="2" w:color="808080" w:val="singl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/>
            </w:r>
          </w:p>
        </w:tc>
      </w:tr>
      <w:tr>
        <w:trPr>
          <w:trHeight w:hRule="atLeast" w:val="399"/>
          <w:cantSplit w:val="false"/>
        </w:trPr>
        <w:tc>
          <w:tcPr>
            <w:tcW w:type="dxa" w:w="1441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18"/>
              </w:rPr>
              <w:t>(код ОКЗ)</w:t>
            </w:r>
          </w:p>
        </w:tc>
        <w:tc>
          <w:tcPr>
            <w:tcW w:type="dxa" w:w="3440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18"/>
              </w:rPr>
              <w:t>(наименование)</w:t>
            </w:r>
          </w:p>
        </w:tc>
        <w:tc>
          <w:tcPr>
            <w:tcW w:type="dxa" w:w="1227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18"/>
              </w:rPr>
              <w:t>(код ОКЗ)</w:t>
            </w:r>
          </w:p>
        </w:tc>
        <w:tc>
          <w:tcPr>
            <w:tcW w:type="dxa" w:w="4010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18"/>
              </w:rPr>
              <w:t>(наименование)</w:t>
            </w:r>
          </w:p>
        </w:tc>
      </w:tr>
    </w:tbl>
    <w:p>
      <w:pPr>
        <w:pStyle w:val="style28"/>
      </w:pPr>
      <w:r>
        <w:rPr/>
      </w:r>
    </w:p>
    <w:p>
      <w:pPr>
        <w:pStyle w:val="style28"/>
      </w:pPr>
      <w:r>
        <w:rPr/>
      </w:r>
    </w:p>
    <w:p>
      <w:pPr>
        <w:pStyle w:val="style28"/>
      </w:pPr>
      <w:r>
        <w:rPr/>
      </w:r>
    </w:p>
    <w:tbl>
      <w:tblPr>
        <w:jc w:val="left"/>
        <w:tblInd w:type="dxa" w:w="-5"/>
        <w:tblBorders>
          <w:top w:val="none"/>
          <w:left w:val="none"/>
          <w:bottom w:space="0" w:sz="2" w:color="808080" w:val="single"/>
          <w:right w:val="none"/>
          <w:insideH w:space="0" w:sz="2" w:color="808080" w:val="singl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118"/>
      </w:tblGrid>
      <w:tr>
        <w:trPr>
          <w:trHeight w:hRule="atLeast" w:val="771"/>
          <w:cantSplit w:val="false"/>
        </w:trPr>
        <w:tc>
          <w:tcPr>
            <w:tcW w:type="dxa" w:w="10118"/>
            <w:gridSpan w:val="2"/>
            <w:tcBorders>
              <w:top w:val="none"/>
              <w:left w:val="none"/>
              <w:bottom w:space="0" w:sz="2" w:color="808080" w:val="singl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</w:rPr>
              <w:t>Отнесение к видам экономической деятельности:</w:t>
            </w:r>
          </w:p>
        </w:tc>
      </w:tr>
      <w:tr>
        <w:trPr>
          <w:trHeight w:hRule="atLeast" w:val="191"/>
          <w:cantSplit w:val="false"/>
        </w:trPr>
        <w:tc>
          <w:tcPr>
            <w:tcW w:type="dxa" w:w="3031"/>
            <w:tcBorders>
              <w:top w:space="0" w:sz="4" w:color="808080" w:val="single"/>
              <w:left w:space="0" w:sz="2" w:color="808080" w:val="single"/>
              <w:bottom w:space="0" w:sz="2" w:color="808080" w:val="single"/>
              <w:right w:val="non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</w:rPr>
              <w:t>66.02 </w:t>
            </w:r>
          </w:p>
        </w:tc>
        <w:tc>
          <w:tcPr>
            <w:tcW w:type="dxa" w:w="7087"/>
            <w:tcBorders>
              <w:top w:space="0" w:sz="4" w:color="808080" w:val="single"/>
              <w:left w:space="0" w:sz="2" w:color="808080" w:val="single"/>
              <w:bottom w:space="0" w:sz="2" w:color="808080" w:val="single"/>
              <w:right w:space="0" w:sz="2" w:color="808080" w:val="singl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</w:rPr>
              <w:t>Добровольное пенсионное страхование</w:t>
            </w:r>
          </w:p>
        </w:tc>
      </w:tr>
      <w:tr>
        <w:trPr>
          <w:trHeight w:hRule="atLeast" w:val="191"/>
          <w:cantSplit w:val="false"/>
        </w:trPr>
        <w:tc>
          <w:tcPr>
            <w:tcW w:type="dxa" w:w="3031"/>
            <w:tcBorders>
              <w:top w:space="0" w:sz="4" w:color="808080" w:val="single"/>
              <w:left w:space="0" w:sz="2" w:color="808080" w:val="single"/>
              <w:bottom w:space="0" w:sz="2" w:color="808080" w:val="single"/>
              <w:right w:val="non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</w:rPr>
              <w:t>66.02.1 </w:t>
            </w:r>
          </w:p>
        </w:tc>
        <w:tc>
          <w:tcPr>
            <w:tcW w:type="dxa" w:w="7087"/>
            <w:tcBorders>
              <w:top w:space="0" w:sz="4" w:color="808080" w:val="single"/>
              <w:left w:space="0" w:sz="2" w:color="808080" w:val="single"/>
              <w:bottom w:space="0" w:sz="2" w:color="808080" w:val="single"/>
              <w:right w:space="0" w:sz="2" w:color="808080" w:val="singl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</w:rPr>
              <w:t>Деятельность по добровольному пенсионному страхованию</w:t>
            </w:r>
          </w:p>
        </w:tc>
      </w:tr>
      <w:tr>
        <w:trPr>
          <w:trHeight w:hRule="atLeast" w:val="244"/>
          <w:cantSplit w:val="false"/>
        </w:trPr>
        <w:tc>
          <w:tcPr>
            <w:tcW w:type="dxa" w:w="3031"/>
            <w:tcBorders>
              <w:top w:space="0" w:sz="2" w:color="808080" w:val="singl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(код ОКВЭД)</w:t>
            </w:r>
          </w:p>
        </w:tc>
        <w:tc>
          <w:tcPr>
            <w:tcW w:type="dxa" w:w="7087"/>
            <w:tcBorders>
              <w:top w:space="0" w:sz="2" w:color="808080" w:val="singl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>
      <w:pPr>
        <w:pStyle w:val="style28"/>
      </w:pPr>
      <w:r>
        <w:rPr/>
      </w:r>
    </w:p>
    <w:tbl>
      <w:tblPr>
        <w:jc w:val="left"/>
        <w:tblInd w:type="dxa" w:w="-5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118"/>
      </w:tblGrid>
      <w:tr>
        <w:trPr>
          <w:trHeight w:hRule="atLeast" w:val="723"/>
          <w:cantSplit w:val="true"/>
        </w:trPr>
        <w:tc>
          <w:tcPr>
            <w:tcW w:type="dxa" w:w="10118"/>
            <w:gridSpan w:val="7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32"/>
              <w:tabs>
                <w:tab w:pos="567" w:leader="none" w:val="left"/>
              </w:tabs>
              <w:spacing w:lineRule="atLeast" w:line="100" w:after="0" w:before="0"/>
              <w:ind w:firstLine="709" w:right="0" w:left="0"/>
              <w:contextualSpacing/>
              <w:jc w:val="center"/>
            </w:pPr>
            <w:r>
              <w:rPr>
                <w:rFonts w:cs="Times New Roman" w:hAnsi="Times New Roman" w:asci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cs="Times New Roman" w:hAnsi="Times New Roman" w:ascii="Times New Roman"/>
                <w:b/>
                <w:sz w:val="28"/>
                <w:szCs w:val="28"/>
              </w:rPr>
              <w:t>. Описание</w:t>
            </w:r>
            <w:r>
              <w:rPr>
                <w:rFonts w:cs="Times New Roman" w:hAnsi="Times New Roman" w:ascii="Times New Roman"/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</w:tc>
      </w:tr>
      <w:tr>
        <w:trPr>
          <w:trHeight w:hRule="atLeast" w:val="628"/>
          <w:cantSplit w:val="true"/>
        </w:trPr>
        <w:tc>
          <w:tcPr>
            <w:tcW w:type="dxa" w:w="10118"/>
            <w:gridSpan w:val="7"/>
            <w:tcBorders>
              <w:top w:val="none"/>
              <w:left w:val="none"/>
              <w:bottom w:space="0" w:sz="4" w:color="808080" w:val="singl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082"/>
            <w:gridSpan w:val="4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type="dxa" w:w="4036"/>
            <w:gridSpan w:val="3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Трудовые функции</w:t>
            </w:r>
          </w:p>
        </w:tc>
      </w:tr>
      <w:tr>
        <w:trPr>
          <w:trHeight w:hRule="atLeast" w:val="23"/>
          <w:cantSplit w:val="true"/>
        </w:trPr>
        <w:tc>
          <w:tcPr>
            <w:tcW w:type="dxa" w:w="1671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код</w:t>
            </w:r>
          </w:p>
        </w:tc>
        <w:tc>
          <w:tcPr>
            <w:tcW w:type="dxa" w:w="1687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наименование</w:t>
            </w:r>
          </w:p>
        </w:tc>
        <w:tc>
          <w:tcPr>
            <w:tcW w:type="dxa" w:w="1701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type="dxa" w:w="1686"/>
            <w:gridSpan w:val="2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наименование</w:t>
            </w:r>
          </w:p>
        </w:tc>
        <w:tc>
          <w:tcPr>
            <w:tcW w:type="dxa" w:w="1687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код</w:t>
            </w:r>
          </w:p>
        </w:tc>
        <w:tc>
          <w:tcPr>
            <w:tcW w:type="dxa" w:w="1686"/>
            <w:tcBorders>
              <w:top w:val="non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>
        <w:trPr>
          <w:trHeight w:hRule="atLeast" w:val="858"/>
          <w:cantSplit w:val="false"/>
        </w:trPr>
        <w:tc>
          <w:tcPr>
            <w:tcW w:type="dxa" w:w="1671"/>
            <w:vMerge w:val="restart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type="dxa" w:w="1687"/>
            <w:vMerge w:val="restart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Ведение персонифицированного учета</w:t>
            </w:r>
          </w:p>
        </w:tc>
        <w:tc>
          <w:tcPr>
            <w:tcW w:type="dxa" w:w="1701"/>
            <w:vMerge w:val="restart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6</w:t>
            </w:r>
          </w:p>
        </w:tc>
        <w:tc>
          <w:tcPr>
            <w:tcW w:type="dxa" w:w="1686"/>
            <w:gridSpan w:val="2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Регистрация застрахованных лиц в системе персонифицированного учета</w:t>
            </w:r>
          </w:p>
        </w:tc>
        <w:tc>
          <w:tcPr>
            <w:tcW w:type="dxa" w:w="1687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A/01.6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415_603404325" w:id="1"/>
            <w:bookmarkEnd w:id="1"/>
            <w:r>
              <w:rPr>
                <w:rFonts w:cs="Times New Roman" w:hAnsi="Times New Roman" w:ascii="Times New Roman"/>
                <w:sz w:val="24"/>
                <w:szCs w:val="24"/>
              </w:rPr>
              <w:t>6</w:t>
            </w:r>
          </w:p>
        </w:tc>
      </w:tr>
      <w:tr>
        <w:trPr>
          <w:trHeight w:hRule="atLeast" w:val="1157"/>
          <w:cantSplit w:val="false"/>
        </w:trPr>
        <w:tc>
          <w:tcPr>
            <w:tcW w:type="dxa" w:w="167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687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70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686"/>
            <w:gridSpan w:val="2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Подготовка документов к занесению в базу данных персонифицированного учета</w:t>
            </w:r>
          </w:p>
        </w:tc>
        <w:tc>
          <w:tcPr>
            <w:tcW w:type="dxa" w:w="1687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A/02.6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172_603404325" w:id="2"/>
            <w:bookmarkEnd w:id="2"/>
            <w:r>
              <w:rPr>
                <w:rFonts w:hAnsi="Times New Roman" w:ascii="Times New Roman"/>
                <w:sz w:val="24"/>
                <w:szCs w:val="24"/>
              </w:rPr>
              <w:t>6</w:t>
            </w:r>
          </w:p>
        </w:tc>
      </w:tr>
      <w:tr>
        <w:trPr>
          <w:trHeight w:hRule="atLeast" w:val="1157"/>
          <w:cantSplit w:val="false"/>
        </w:trPr>
        <w:tc>
          <w:tcPr>
            <w:tcW w:type="dxa" w:w="167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687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70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686"/>
            <w:gridSpan w:val="2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Обеспечение своевременного включения в индивидуальные лицевые счета сведений, представленных страхователями</w:t>
            </w:r>
          </w:p>
        </w:tc>
        <w:tc>
          <w:tcPr>
            <w:tcW w:type="dxa" w:w="1687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A/03.6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172_603404325" w:id="2"/>
            <w:bookmarkEnd w:id="2"/>
            <w:r>
              <w:rPr>
                <w:rFonts w:hAnsi="Times New Roman" w:ascii="Times New Roman"/>
                <w:sz w:val="24"/>
                <w:szCs w:val="24"/>
              </w:rPr>
              <w:t>6</w:t>
            </w:r>
          </w:p>
        </w:tc>
      </w:tr>
      <w:tr>
        <w:trPr>
          <w:trHeight w:hRule="atLeast" w:val="1157"/>
          <w:cantSplit w:val="false"/>
        </w:trPr>
        <w:tc>
          <w:tcPr>
            <w:tcW w:type="dxa" w:w="167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687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70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686"/>
            <w:gridSpan w:val="2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Организация хранения документов персонифицированного учета</w:t>
            </w:r>
          </w:p>
        </w:tc>
        <w:tc>
          <w:tcPr>
            <w:tcW w:type="dxa" w:w="1687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A/04.6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172_603404325" w:id="2"/>
            <w:bookmarkEnd w:id="2"/>
            <w:r>
              <w:rPr>
                <w:rFonts w:hAnsi="Times New Roman" w:ascii="Times New Roman"/>
                <w:sz w:val="24"/>
                <w:szCs w:val="24"/>
              </w:rPr>
              <w:t>6</w:t>
            </w:r>
          </w:p>
        </w:tc>
      </w:tr>
      <w:tr>
        <w:trPr>
          <w:trHeight w:hRule="atLeast" w:val="1157"/>
          <w:cantSplit w:val="false"/>
        </w:trPr>
        <w:tc>
          <w:tcPr>
            <w:tcW w:type="dxa" w:w="167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687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70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686"/>
            <w:gridSpan w:val="2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Информирование страхователей и застрахованных лиц, а также негосударственных пенсионных фондов</w:t>
            </w:r>
          </w:p>
        </w:tc>
        <w:tc>
          <w:tcPr>
            <w:tcW w:type="dxa" w:w="1687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A/05.6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172_603404325" w:id="2"/>
            <w:bookmarkEnd w:id="2"/>
            <w:r>
              <w:rPr>
                <w:rFonts w:hAnsi="Times New Roman" w:ascii="Times New Roman"/>
                <w:sz w:val="24"/>
                <w:szCs w:val="24"/>
              </w:rPr>
              <w:t>6</w:t>
            </w:r>
          </w:p>
        </w:tc>
      </w:tr>
      <w:tr>
        <w:trPr>
          <w:trHeight w:hRule="atLeast" w:val="858"/>
          <w:cantSplit w:val="false"/>
        </w:trPr>
        <w:tc>
          <w:tcPr>
            <w:tcW w:type="dxa" w:w="1671"/>
            <w:vMerge w:val="restart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>В</w:t>
            </w:r>
          </w:p>
        </w:tc>
        <w:tc>
          <w:tcPr>
            <w:tcW w:type="dxa" w:w="1687"/>
            <w:vMerge w:val="restart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Организация работы подведомственных структурных подразделений по персонифицированному учету</w:t>
            </w:r>
          </w:p>
        </w:tc>
        <w:tc>
          <w:tcPr>
            <w:tcW w:type="dxa" w:w="1701"/>
            <w:vMerge w:val="restart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7</w:t>
            </w:r>
          </w:p>
        </w:tc>
        <w:tc>
          <w:tcPr>
            <w:tcW w:type="dxa" w:w="1686"/>
            <w:gridSpan w:val="2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Планирование деятельности по организации и установлению персонифицированного учета</w:t>
            </w:r>
          </w:p>
        </w:tc>
        <w:tc>
          <w:tcPr>
            <w:tcW w:type="dxa" w:w="1687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B/01.7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415_603404325" w:id="1"/>
            <w:bookmarkEnd w:id="1"/>
            <w:r>
              <w:rPr>
                <w:rFonts w:cs="Times New Roman" w:hAnsi="Times New Roman" w:ascii="Times New Roman"/>
                <w:sz w:val="24"/>
                <w:szCs w:val="24"/>
              </w:rPr>
              <w:t>7</w:t>
            </w:r>
          </w:p>
        </w:tc>
      </w:tr>
      <w:tr>
        <w:trPr>
          <w:trHeight w:hRule="atLeast" w:val="1157"/>
          <w:cantSplit w:val="false"/>
        </w:trPr>
        <w:tc>
          <w:tcPr>
            <w:tcW w:type="dxa" w:w="167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687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70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686"/>
            <w:gridSpan w:val="2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Координация работы подотчетных структур в части, касающейся персонифицированного учета</w:t>
            </w:r>
          </w:p>
        </w:tc>
        <w:tc>
          <w:tcPr>
            <w:tcW w:type="dxa" w:w="1687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B/02.7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172_603404325" w:id="2"/>
            <w:bookmarkEnd w:id="2"/>
            <w:r>
              <w:rPr>
                <w:rFonts w:hAnsi="Times New Roman" w:ascii="Times New Roman"/>
                <w:sz w:val="24"/>
                <w:szCs w:val="24"/>
              </w:rPr>
              <w:t>7</w:t>
            </w:r>
          </w:p>
        </w:tc>
      </w:tr>
      <w:tr>
        <w:trPr>
          <w:trHeight w:hRule="atLeast" w:val="1157"/>
          <w:cantSplit w:val="false"/>
        </w:trPr>
        <w:tc>
          <w:tcPr>
            <w:tcW w:type="dxa" w:w="167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687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70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686"/>
            <w:gridSpan w:val="2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Контроль деятельности подотчетных структур по персонифицированному учету</w:t>
            </w:r>
          </w:p>
        </w:tc>
        <w:tc>
          <w:tcPr>
            <w:tcW w:type="dxa" w:w="1687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B/03.7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172_603404325" w:id="2"/>
            <w:bookmarkEnd w:id="2"/>
            <w:r>
              <w:rPr>
                <w:rFonts w:hAnsi="Times New Roman" w:ascii="Times New Roman"/>
                <w:sz w:val="24"/>
                <w:szCs w:val="24"/>
              </w:rPr>
              <w:t>7</w:t>
            </w:r>
          </w:p>
        </w:tc>
      </w:tr>
      <w:tr>
        <w:trPr>
          <w:trHeight w:hRule="atLeast" w:val="1157"/>
          <w:cantSplit w:val="false"/>
        </w:trPr>
        <w:tc>
          <w:tcPr>
            <w:tcW w:type="dxa" w:w="167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687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70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686"/>
            <w:gridSpan w:val="2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Подготовка нормативных правовых актов, методических рекомендаций, правовой позиции для предоставления в суды</w:t>
            </w:r>
          </w:p>
        </w:tc>
        <w:tc>
          <w:tcPr>
            <w:tcW w:type="dxa" w:w="1687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B/04.7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172_603404325" w:id="2"/>
            <w:bookmarkEnd w:id="2"/>
            <w:r>
              <w:rPr>
                <w:rFonts w:hAnsi="Times New Roman" w:ascii="Times New Roman"/>
                <w:sz w:val="24"/>
                <w:szCs w:val="24"/>
              </w:rPr>
              <w:t>7</w:t>
            </w:r>
          </w:p>
        </w:tc>
      </w:tr>
      <w:tr>
        <w:trPr>
          <w:trHeight w:hRule="atLeast" w:val="858"/>
          <w:cantSplit w:val="false"/>
        </w:trPr>
        <w:tc>
          <w:tcPr>
            <w:tcW w:type="dxa" w:w="1671"/>
            <w:vMerge w:val="restart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>С</w:t>
            </w:r>
          </w:p>
        </w:tc>
        <w:tc>
          <w:tcPr>
            <w:tcW w:type="dxa" w:w="1687"/>
            <w:vMerge w:val="restart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Обеспечение единообразного применения методологических и нормативных правовых актов в части организации персонифицированного учета</w:t>
            </w:r>
          </w:p>
        </w:tc>
        <w:tc>
          <w:tcPr>
            <w:tcW w:type="dxa" w:w="1701"/>
            <w:vMerge w:val="restart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8</w:t>
            </w:r>
          </w:p>
        </w:tc>
        <w:tc>
          <w:tcPr>
            <w:tcW w:type="dxa" w:w="1686"/>
            <w:gridSpan w:val="2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Правовое сопровождение программных комплексов, обеспечивающих назначение персонифицированного учета</w:t>
            </w:r>
          </w:p>
        </w:tc>
        <w:tc>
          <w:tcPr>
            <w:tcW w:type="dxa" w:w="1687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C/01.8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415_603404325" w:id="1"/>
            <w:bookmarkEnd w:id="1"/>
            <w:r>
              <w:rPr>
                <w:rFonts w:cs="Times New Roman" w:hAnsi="Times New Roman" w:ascii="Times New Roman"/>
                <w:sz w:val="24"/>
                <w:szCs w:val="24"/>
              </w:rPr>
              <w:t>8</w:t>
            </w:r>
          </w:p>
        </w:tc>
      </w:tr>
      <w:tr>
        <w:trPr>
          <w:trHeight w:hRule="atLeast" w:val="1157"/>
          <w:cantSplit w:val="false"/>
        </w:trPr>
        <w:tc>
          <w:tcPr>
            <w:tcW w:type="dxa" w:w="167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687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70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686"/>
            <w:gridSpan w:val="2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Методологическая поддержка подведомственных подразделений по вопросам организации персонифицированного учета</w:t>
            </w:r>
          </w:p>
        </w:tc>
        <w:tc>
          <w:tcPr>
            <w:tcW w:type="dxa" w:w="1687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C/02.8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172_603404325" w:id="2"/>
            <w:bookmarkEnd w:id="2"/>
            <w:r>
              <w:rPr>
                <w:rFonts w:hAnsi="Times New Roman" w:ascii="Times New Roman"/>
                <w:sz w:val="24"/>
                <w:szCs w:val="24"/>
              </w:rPr>
              <w:t>8</w:t>
            </w:r>
          </w:p>
        </w:tc>
      </w:tr>
    </w:tbl>
    <w:p>
      <w:pPr>
        <w:pStyle w:val="style0"/>
        <w:widowControl/>
        <w:pBdr>
          <w:top w:val="none"/>
          <w:left w:val="none"/>
          <w:bottom w:val="none"/>
          <w:right w:val="none"/>
        </w:pBdr>
        <w:spacing w:lineRule="auto" w:line="276" w:after="200" w:before="0"/>
        <w:ind w:hanging="0" w:right="-1" w:left="0"/>
        <w:contextualSpacing w:val="false"/>
        <w:jc w:val="center"/>
      </w:pPr>
      <w:r>
        <w:rPr/>
      </w:r>
    </w:p>
    <w:p>
      <w:pPr>
        <w:pStyle w:val="style0"/>
        <w:widowControl/>
        <w:pBdr>
          <w:top w:val="none"/>
          <w:left w:val="none"/>
          <w:bottom w:val="none"/>
          <w:right w:val="none"/>
        </w:pBdr>
        <w:spacing w:lineRule="auto" w:line="276" w:after="200" w:before="0"/>
        <w:ind w:hanging="0" w:right="-1" w:left="0"/>
        <w:contextualSpacing w:val="false"/>
        <w:jc w:val="center"/>
      </w:pPr>
      <w:r>
        <w:rPr/>
      </w:r>
    </w:p>
    <w:tbl>
      <w:tblPr>
        <w:jc w:val="left"/>
        <w:tblInd w:type="dxa" w:w="-10"/>
        <w:tblBorders>
          <w:top w:space="0" w:sz="2" w:color="808080" w:val="single"/>
          <w:left w:val="none"/>
          <w:bottom w:val="none"/>
          <w:right w:val="none"/>
          <w:insideH w:val="none"/>
          <w:insideV w:val="none"/>
        </w:tblBorders>
        <w:tblCellMar>
          <w:top w:type="dxa" w:w="0"/>
          <w:left w:type="dxa" w:w="101"/>
          <w:bottom w:type="dxa" w:w="0"/>
          <w:right w:type="dxa" w:w="108"/>
        </w:tblCellMar>
      </w:tblPr>
      <w:tblGrid>
        <w:gridCol w:w="10123"/>
        <w:gridCol w:w="3"/>
      </w:tblGrid>
      <w:tr>
        <w:trPr>
          <w:trHeight w:hRule="atLeast" w:val="830"/>
          <w:cantSplit w:val="false"/>
        </w:trPr>
        <w:tc>
          <w:tcPr>
            <w:tcW w:type="dxa" w:w="10123"/>
            <w:gridSpan w:val="4"/>
            <w:tcBorders>
              <w:top w:space="0" w:sz="2" w:color="808080" w:val="singl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32"/>
              <w:spacing w:lineRule="atLeast" w:line="100" w:after="0" w:before="0"/>
              <w:ind w:hanging="0" w:right="-1043" w:left="16"/>
              <w:contextualSpacing/>
              <w:jc w:val="center"/>
            </w:pPr>
            <w:r>
              <w:rPr/>
            </w:r>
          </w:p>
          <w:p>
            <w:pPr>
              <w:pStyle w:val="style32"/>
              <w:spacing w:lineRule="atLeast" w:line="100" w:after="0" w:before="0"/>
              <w:ind w:hanging="0" w:right="-1043" w:left="16"/>
              <w:contextualSpacing/>
              <w:jc w:val="center"/>
            </w:pPr>
            <w:r>
              <w:rPr>
                <w:rFonts w:cs="Times New Roman" w:hAnsi="Times New Roman" w:ascii="Times New Roman"/>
                <w:b/>
                <w:sz w:val="28"/>
                <w:shd w:fill="FFFFFF" w:val="clear"/>
                <w:lang w:val="en-US"/>
              </w:rPr>
              <w:t>IV</w:t>
            </w:r>
            <w:r>
              <w:rPr>
                <w:rFonts w:cs="Times New Roman" w:hAnsi="Times New Roman" w:ascii="Times New Roman"/>
                <w:b/>
                <w:sz w:val="28"/>
                <w:shd w:fill="FFFFFF" w:val="clear"/>
              </w:rPr>
              <w:t xml:space="preserve">. Сведения об организациях-разработчиках </w:t>
            </w:r>
          </w:p>
          <w:p>
            <w:pPr>
              <w:pStyle w:val="style32"/>
              <w:spacing w:lineRule="atLeast" w:line="100" w:after="0" w:before="0"/>
              <w:ind w:hanging="0" w:right="-1043" w:left="16"/>
              <w:contextualSpacing/>
              <w:jc w:val="center"/>
            </w:pPr>
            <w:r>
              <w:rPr>
                <w:rFonts w:cs="Times New Roman" w:hAnsi="Times New Roman" w:ascii="Times New Roman"/>
                <w:b/>
                <w:sz w:val="28"/>
                <w:shd w:fill="FFFFFF" w:val="clear"/>
              </w:rPr>
              <w:t>профессионального стандарта</w:t>
            </w:r>
          </w:p>
        </w:tc>
        <w:tc>
          <w:tcPr>
            <w:tcW w:type="dxa" w:w="3"/>
            <w:tcBorders>
              <w:top w:space="0" w:sz="2" w:color="808080" w:val="singl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200" w:before="0"/>
              <w:ind w:hanging="0" w:right="-1043" w:left="16"/>
              <w:contextualSpacing w:val="false"/>
            </w:pPr>
            <w:r>
              <w:rPr/>
            </w:r>
          </w:p>
        </w:tc>
      </w:tr>
      <w:tr>
        <w:trPr>
          <w:trHeight w:hRule="atLeast" w:val="568"/>
          <w:cantSplit w:val="false"/>
        </w:trPr>
        <w:tc>
          <w:tcPr>
            <w:tcW w:type="dxa" w:w="10123"/>
            <w:gridSpan w:val="4"/>
            <w:tcBorders>
              <w:top w:val="none"/>
              <w:left w:val="none"/>
              <w:bottom w:space="0" w:sz="4" w:color="808080" w:val="singl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lineRule="atLeast" w:line="100" w:after="0" w:before="0"/>
              <w:ind w:hanging="0" w:right="-1043" w:left="16"/>
              <w:contextualSpacing w:val="false"/>
            </w:pPr>
            <w:r>
              <w:rPr>
                <w:rFonts w:cs="Times New Roman" w:hAnsi="Times New Roman" w:ascii="Times New Roman"/>
                <w:bCs/>
                <w:sz w:val="24"/>
                <w:szCs w:val="24"/>
                <w:shd w:fill="FFFFFF" w:val="clear"/>
                <w:lang w:val="en-US"/>
              </w:rPr>
              <w:t>4.1.</w:t>
            </w:r>
            <w:r>
              <w:rPr>
                <w:rFonts w:cs="Times New Roman" w:hAnsi="Times New Roman" w:ascii="Times New Roman"/>
                <w:bCs/>
                <w:sz w:val="24"/>
                <w:szCs w:val="24"/>
                <w:shd w:fill="FFFFFF" w:val="clear"/>
              </w:rPr>
              <w:t>Ответственная организация –</w:t>
            </w:r>
            <w:r>
              <w:rPr>
                <w:rFonts w:cs="Times New Roman" w:hAnsi="Times New Roman" w:ascii="Times New Roman"/>
                <w:sz w:val="24"/>
                <w:szCs w:val="24"/>
                <w:shd w:fill="FFFFFF" w:val="clear"/>
              </w:rPr>
              <w:t xml:space="preserve"> разработчик</w:t>
            </w:r>
          </w:p>
        </w:tc>
        <w:tc>
          <w:tcPr>
            <w:tcW w:type="dxa" w:w="3"/>
            <w:tcBorders>
              <w:top w:val="none"/>
              <w:left w:val="none"/>
              <w:bottom w:space="0" w:sz="4" w:color="808080" w:val="singl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200" w:before="0"/>
              <w:ind w:hanging="0" w:right="-1043" w:left="16"/>
              <w:contextualSpacing w:val="false"/>
            </w:pPr>
            <w:r>
              <w:rPr/>
            </w:r>
          </w:p>
        </w:tc>
      </w:tr>
      <w:tr>
        <w:trPr>
          <w:trHeight w:hRule="atLeast" w:val="561"/>
          <w:cantSplit w:val="false"/>
        </w:trPr>
        <w:tc>
          <w:tcPr>
            <w:tcW w:type="dxa" w:w="10126"/>
            <w:gridSpan w:val="4"/>
            <w:tcBorders>
              <w:top w:space="0" w:sz="4" w:color="808080" w:val="single"/>
              <w:left w:space="0" w:sz="2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lineRule="atLeast" w:line="100" w:after="0" w:before="0"/>
              <w:ind w:hanging="0" w:right="-1043" w:left="16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Пенсионный фонд Российской Федерации</w:t>
            </w:r>
          </w:p>
        </w:tc>
      </w:tr>
      <w:tr>
        <w:trPr>
          <w:trHeight w:hRule="atLeast" w:val="563"/>
          <w:cantSplit w:val="false"/>
        </w:trPr>
        <w:tc>
          <w:tcPr>
            <w:tcW w:type="dxa" w:w="498"/>
            <w:tcBorders>
              <w:top w:val="none"/>
              <w:left w:space="0" w:sz="2" w:color="808080" w:val="single"/>
              <w:bottom w:val="none"/>
              <w:right w:val="none"/>
            </w:tcBorders>
            <w:shd w:fill="FFFFFF" w:val="clear"/>
            <w:tcMar>
              <w:left w:type="dxa" w:w="93"/>
            </w:tcMar>
            <w:vAlign w:val="bottom"/>
          </w:tcPr>
          <w:p>
            <w:pPr>
              <w:pStyle w:val="style0"/>
              <w:spacing w:lineRule="atLeast" w:line="100" w:after="0" w:before="0"/>
              <w:ind w:hanging="0" w:right="-1043" w:left="16"/>
              <w:contextualSpacing w:val="false"/>
            </w:pPr>
            <w:r>
              <w:rPr/>
            </w:r>
          </w:p>
        </w:tc>
        <w:tc>
          <w:tcPr>
            <w:tcW w:type="dxa" w:w="6207"/>
            <w:tcBorders>
              <w:top w:val="none"/>
              <w:left w:val="none"/>
              <w:bottom w:space="0" w:sz="2" w:color="808080" w:val="single"/>
              <w:right w:val="non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  <w:spacing w:lineRule="atLeast" w:line="100" w:after="0" w:before="0"/>
              <w:ind w:hanging="0" w:right="-1043" w:left="16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Председатель Правления ПФР  Дроздов Антон Викторович</w:t>
            </w:r>
          </w:p>
        </w:tc>
        <w:tc>
          <w:tcPr>
            <w:tcW w:type="dxa" w:w="48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  <w:spacing w:lineRule="atLeast" w:line="100" w:after="0" w:before="0"/>
              <w:ind w:hanging="0" w:right="-1043" w:left="16"/>
              <w:contextualSpacing w:val="false"/>
            </w:pPr>
            <w:r>
              <w:rPr/>
            </w:r>
          </w:p>
        </w:tc>
        <w:tc>
          <w:tcPr>
            <w:tcW w:type="dxa" w:w="2937"/>
            <w:tcBorders>
              <w:top w:val="none"/>
              <w:left w:val="none"/>
              <w:bottom w:space="0" w:sz="2" w:color="808080" w:val="single"/>
              <w:right w:val="non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  <w:widowControl w:val="false"/>
              <w:spacing w:lineRule="atLeast" w:line="100" w:after="0" w:before="0"/>
              <w:ind w:hanging="0" w:right="-1043" w:left="16"/>
              <w:contextualSpacing w:val="false"/>
            </w:pPr>
            <w:r>
              <w:rPr/>
            </w:r>
          </w:p>
        </w:tc>
      </w:tr>
      <w:tr>
        <w:trPr>
          <w:trHeight w:hRule="atLeast" w:val="557"/>
          <w:cantSplit w:val="false"/>
        </w:trPr>
        <w:tc>
          <w:tcPr>
            <w:tcW w:type="dxa" w:w="498"/>
            <w:tcBorders>
              <w:top w:val="none"/>
              <w:left w:space="0" w:sz="2" w:color="808080" w:val="single"/>
              <w:bottom w:space="0" w:sz="2" w:color="808080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lineRule="atLeast" w:line="100" w:after="0" w:before="0"/>
              <w:ind w:hanging="0" w:right="-1043" w:left="16"/>
              <w:contextualSpacing w:val="false"/>
              <w:jc w:val="center"/>
            </w:pPr>
            <w:r>
              <w:rPr/>
            </w:r>
          </w:p>
        </w:tc>
        <w:tc>
          <w:tcPr>
            <w:tcW w:type="dxa" w:w="6207"/>
            <w:tcBorders>
              <w:top w:space="0" w:sz="2" w:color="808080" w:val="single"/>
              <w:left w:val="none"/>
              <w:bottom w:space="0" w:sz="2" w:color="808080" w:val="singl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lineRule="atLeast" w:line="100" w:after="0" w:before="0"/>
              <w:ind w:hanging="0" w:right="-1043" w:left="16"/>
              <w:contextualSpacing w:val="false"/>
              <w:jc w:val="center"/>
            </w:pPr>
            <w:bookmarkStart w:name="__DdeLink__2645_603404325" w:id="4"/>
            <w:bookmarkEnd w:id="4"/>
            <w:r>
              <w:rPr>
                <w:rFonts w:cs="Times New Roman" w:hAnsi="Times New Roman" w:ascii="Times New Roman"/>
                <w:bCs/>
                <w:sz w:val="18"/>
                <w:szCs w:val="16"/>
                <w:shd w:fill="FFFFFF" w:val="clear"/>
              </w:rPr>
              <w:t>(должность и ФИО руководителя)</w:t>
            </w:r>
          </w:p>
        </w:tc>
        <w:tc>
          <w:tcPr>
            <w:tcW w:type="dxa" w:w="484"/>
            <w:tcBorders>
              <w:top w:val="none"/>
              <w:left w:val="none"/>
              <w:bottom w:space="0" w:sz="2" w:color="808080" w:val="singl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lineRule="atLeast" w:line="100" w:after="0" w:before="0"/>
              <w:ind w:hanging="0" w:right="-1043" w:left="16"/>
              <w:contextualSpacing w:val="false"/>
              <w:jc w:val="center"/>
            </w:pPr>
            <w:r>
              <w:rPr/>
            </w:r>
          </w:p>
        </w:tc>
        <w:tc>
          <w:tcPr>
            <w:tcW w:type="dxa" w:w="2937"/>
            <w:tcBorders>
              <w:top w:space="0" w:sz="2" w:color="808080" w:val="single"/>
              <w:left w:val="none"/>
              <w:bottom w:space="0" w:sz="2" w:color="808080" w:val="singl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widowControl w:val="false"/>
              <w:spacing w:lineRule="atLeast" w:line="100" w:after="0" w:before="0"/>
              <w:ind w:hanging="0" w:right="-1043" w:left="16"/>
              <w:contextualSpacing w:val="false"/>
              <w:jc w:val="center"/>
            </w:pPr>
            <w:bookmarkStart w:name="__DdeLink__2647_603404325" w:id="5"/>
            <w:bookmarkEnd w:id="5"/>
            <w:r>
              <w:rPr>
                <w:rFonts w:cs="Times New Roman" w:hAnsi="Times New Roman" w:ascii="Times New Roman"/>
                <w:bCs/>
                <w:sz w:val="18"/>
                <w:szCs w:val="16"/>
                <w:shd w:fill="FFFFFF" w:val="clear"/>
              </w:rPr>
              <w:t>(подпись)</w:t>
            </w:r>
          </w:p>
        </w:tc>
      </w:tr>
    </w:tbl>
    <w:tbl>
      <w:tblPr>
        <w:jc w:val="left"/>
        <w:tblInd w:type="dxa" w:w="-55"/>
        <w:tblBorders>
          <w:top w:space="0" w:sz="2" w:color="808080" w:val="single"/>
          <w:left w:space="0" w:sz="2" w:color="808080" w:val="single"/>
          <w:bottom w:space="0" w:sz="2" w:color="808080" w:val="single"/>
          <w:right w:space="0" w:sz="2" w:color="808080" w:val="single"/>
          <w:insideH w:space="0" w:sz="2" w:color="808080" w:val="single"/>
          <w:insideV w:space="0" w:sz="2" w:color="808080" w:val="single"/>
        </w:tblBorders>
        <w:tblCellMar>
          <w:top w:type="dxa" w:w="55"/>
          <w:left w:type="dxa" w:w="52"/>
          <w:bottom w:type="dxa" w:w="55"/>
          <w:right w:type="dxa" w:w="55"/>
        </w:tblCellMar>
      </w:tblPr>
      <w:tblGrid>
        <w:gridCol w:w="10129"/>
      </w:tblGrid>
      <w:tr>
        <w:trPr>
          <w:cantSplit w:val="false"/>
        </w:trPr>
        <w:tc>
          <w:tcPr>
            <w:tcW w:type="dxa" w:w="10129"/>
            <w:tcBorders>
              <w:top w:space="0" w:sz="2" w:color="808080" w:val="single"/>
              <w:left w:space="0" w:sz="2" w:color="808080" w:val="single"/>
              <w:bottom w:space="0" w:sz="2" w:color="808080" w:val="single"/>
              <w:right w:space="0" w:sz="2" w:color="808080" w:val="single"/>
            </w:tcBorders>
            <w:shd w:fill="auto" w:val="clear"/>
            <w:tcMar>
              <w:left w:type="dxa" w:w="52"/>
            </w:tcMar>
          </w:tcPr>
          <w:p>
            <w:pPr>
              <w:pStyle w:val="style41"/>
              <w:spacing w:lineRule="atLeast" w:line="100" w:after="0" w:before="0"/>
              <w:ind w:hanging="0" w:right="-1043" w:left="16"/>
              <w:contextualSpacing/>
            </w:pPr>
            <w:r>
              <w:rPr>
                <w:rFonts w:cs="Times New Roman" w:hAnsi="Times New Roman" w:ascii="Times New Roman"/>
                <w:bCs/>
                <w:sz w:val="24"/>
                <w:szCs w:val="24"/>
                <w:shd w:fill="FFFFFF" w:val="clear"/>
                <w:lang w:val="en-US"/>
              </w:rPr>
              <w:t>4.2.</w:t>
            </w:r>
            <w:r>
              <w:rPr>
                <w:rFonts w:cs="Times New Roman" w:hAnsi="Times New Roman" w:ascii="Times New Roman"/>
                <w:bCs/>
                <w:sz w:val="24"/>
                <w:szCs w:val="24"/>
                <w:shd w:fill="FFFFFF" w:val="clear"/>
              </w:rPr>
              <w:t>Наименования организаций –</w:t>
            </w:r>
            <w:r>
              <w:rPr>
                <w:rFonts w:cs="Times New Roman" w:hAnsi="Times New Roman" w:ascii="Times New Roman"/>
                <w:sz w:val="24"/>
                <w:szCs w:val="24"/>
                <w:shd w:fill="FFFFFF" w:val="clear"/>
              </w:rPr>
              <w:t xml:space="preserve"> разработчиков</w:t>
            </w:r>
          </w:p>
        </w:tc>
      </w:tr>
      <w:tr>
        <w:trPr>
          <w:cantSplit w:val="false"/>
        </w:trPr>
        <w:tc>
          <w:tcPr>
            <w:tcW w:type="dxa" w:w="10129"/>
            <w:tcBorders>
              <w:top w:val="none"/>
              <w:left w:space="0" w:sz="2" w:color="808080" w:val="single"/>
              <w:bottom w:space="0" w:sz="2" w:color="808080" w:val="single"/>
              <w:right w:space="0" w:sz="2" w:color="808080" w:val="single"/>
            </w:tcBorders>
            <w:shd w:fill="auto" w:val="clear"/>
            <w:tcMar>
              <w:left w:type="dxa" w:w="52"/>
            </w:tcMar>
          </w:tcPr>
          <w:p>
            <w:pPr>
              <w:pStyle w:val="style0"/>
              <w:spacing w:lineRule="atLeast" w:line="100" w:after="0" w:before="0"/>
              <w:ind w:hanging="0" w:right="-1043" w:left="16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Федеральное государственное образовательное бюджетное учреждение высшего профессионального образования «Финансовый университет при Правительстве Российской Федерации (Финансовый университет), город Москва</w:t>
            </w:r>
          </w:p>
        </w:tc>
      </w:tr>
    </w:tbl>
    <w:p>
      <w:pPr>
        <w:pStyle w:val="style28"/>
        <w:spacing w:after="120" w:before="0"/>
        <w:contextualSpacing w:val="false"/>
      </w:pPr>
      <w:r>
        <w:rPr/>
      </w:r>
    </w:p>
    <w:sectPr>
      <w:headerReference w:type="first" r:id="rId2"/>
      <w:footerReference w:type="first" r:id="rId3"/>
      <w:type w:val="nextPage"/>
      <w:pgSz w:h="16838" w:w="11906"/>
      <w:pgMar w:gutter="0" w:footer="0" w:header="0" w:left="1134" w:bottom="1367" w:right="849" w:top="1134"/>
      <w:pgNumType w:fmt="decimal"/>
      <w:formProt w:val="false"/>
      <w:titlePg/>
      <w:textDirection w:val="lrTb"/>
      <w:docGrid w:charSpace="114688" w:linePitch="780" w:type="default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Cambria">
    <w:charset w:val="80"/>
    <w:family w:val="roman"/>
    <w:pitch w:val="variable"/>
  </w:font>
  <w:font w:name="TimesET">
    <w:altName w:val="Times New Roman"/>
    <w:charset w:val="80"/>
    <w:family w:val="roman"/>
    <w:pitch w:val="variable"/>
  </w:font>
  <w:font w:name="Cambria">
    <w:charset w:val="80"/>
    <w:family w:val="swiss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style35"/>
      <w:tabs>
        <w:tab w:pos="4677" w:leader="none" w:val="center"/>
        <w:tab w:pos="9355" w:leader="none" w:val="right"/>
      </w:tabs>
      <w:spacing w:after="200" w:before="0"/>
      <w:contextualSpacing w:val="false"/>
    </w:pPr>
    <w:r>
      <w:rPr/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style36"/>
      <w:jc w:val="center"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yle36"/>
      <w:tabs>
        <w:tab w:pos="4677" w:leader="none" w:val="center"/>
        <w:tab w:pos="9355" w:leader="none" w:val="right"/>
      </w:tabs>
      <w:spacing w:after="200" w:before="0"/>
      <w:contextualSpacing w:val="false"/>
    </w:pPr>
    <w:r>
      <w:rPr/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1">
    <w:lvl w:ilvl="0">
      <w:start w:val="1"/>
      <w:numFmt w:val="upperRoman"/>
      <w:lvlText w:val="%1."/>
      <w:lvlJc w:val="left"/>
      <w:pPr>
        <w:ind w:hanging="720" w:left="108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85"/>
  <w:defaultTabStop w:val="708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style w:styleId="style0" w:type="paragraph">
    <w:name w:val="Default Style"/>
    <w:next w:val="style0"/>
    <w:pPr>
      <w:widowControl/>
      <w:suppressAutoHyphens w:val="true"/>
      <w:spacing w:lineRule="auto" w:line="276" w:after="200" w:before="0"/>
      <w:contextualSpacing w:val="false"/>
    </w:pPr>
    <w:rPr>
      <w:rFonts w:cs="Calibri" w:eastAsia="Times New Roman" w:hAnsi="Calibri" w:ascii="Calibri"/>
      <w:color w:val="00000A"/>
      <w:sz w:val="22"/>
      <w:szCs w:val="22"/>
      <w:lang w:bidi="ar-SA" w:eastAsia="zh-CN" w:val="ru-RU"/>
    </w:rPr>
  </w:style>
  <w:style w:styleId="style15" w:type="character">
    <w:name w:val="WW8Num1z0"/>
    <w:next w:val="style15"/>
    <w:rPr>
      <w:rFonts w:cs="Times New Roman"/>
    </w:rPr>
  </w:style>
  <w:style w:styleId="style16" w:type="character">
    <w:name w:val="Основной шрифт абзаца"/>
    <w:next w:val="style16"/>
    <w:rPr/>
  </w:style>
  <w:style w:styleId="style17" w:type="character">
    <w:name w:val="Title Char"/>
    <w:next w:val="style17"/>
    <w:rPr>
      <w:rFonts w:cs="Cambria" w:hAnsi="Cambria" w:ascii="Cambria"/>
      <w:spacing w:val="5"/>
      <w:sz w:val="52"/>
      <w:szCs w:val="52"/>
      <w:lang w:bidi="ar-SA" w:val="ru-RU"/>
    </w:rPr>
  </w:style>
  <w:style w:styleId="style18" w:type="character">
    <w:name w:val="Footnote Text Char"/>
    <w:next w:val="style18"/>
    <w:rPr>
      <w:rFonts w:cs="Calibri" w:hAnsi="Calibri" w:ascii="Calibri"/>
      <w:lang w:bidi="ar-SA" w:val="ru-RU"/>
    </w:rPr>
  </w:style>
  <w:style w:styleId="style19" w:type="character">
    <w:name w:val="Endnote Text Char"/>
    <w:next w:val="style19"/>
    <w:rPr>
      <w:rFonts w:cs="Calibri" w:hAnsi="Calibri" w:ascii="Calibri"/>
      <w:lang w:bidi="ar-SA" w:val="ru-RU"/>
    </w:rPr>
  </w:style>
  <w:style w:styleId="style20" w:type="character">
    <w:name w:val="Endnote Characters"/>
    <w:basedOn w:val="style16"/>
    <w:next w:val="style20"/>
    <w:rPr>
      <w:vertAlign w:val="superscript"/>
    </w:rPr>
  </w:style>
  <w:style w:styleId="style21" w:type="character">
    <w:name w:val="Footer Char"/>
    <w:next w:val="style21"/>
    <w:rPr>
      <w:rFonts w:cs="Calibri" w:hAnsi="Calibri" w:ascii="Calibri"/>
      <w:lang w:bidi="ar-SA" w:val="ru-RU"/>
    </w:rPr>
  </w:style>
  <w:style w:styleId="style22" w:type="character">
    <w:name w:val="Page Number"/>
    <w:basedOn w:val="style16"/>
    <w:next w:val="style22"/>
    <w:rPr/>
  </w:style>
  <w:style w:styleId="style23" w:type="character">
    <w:name w:val="Header Char"/>
    <w:next w:val="style23"/>
    <w:rPr>
      <w:rFonts w:cs="Calibri" w:hAnsi="Calibri" w:ascii="Calibri"/>
      <w:lang w:bidi="ar-SA" w:val="ru-RU"/>
    </w:rPr>
  </w:style>
  <w:style w:styleId="style24" w:type="character">
    <w:name w:val="Body Text Indent Char"/>
    <w:next w:val="style24"/>
    <w:rPr>
      <w:rFonts w:cs="TimesET;Times New Roman" w:hAnsi="TimesET;Times New Roman" w:ascii="TimesET;Times New Roman"/>
      <w:sz w:val="28"/>
      <w:lang w:bidi="ar-SA" w:val="ru-RU"/>
    </w:rPr>
  </w:style>
  <w:style w:styleId="style25" w:type="character">
    <w:name w:val="Endnote Anchor"/>
    <w:next w:val="style25"/>
    <w:rPr>
      <w:vertAlign w:val="superscript"/>
    </w:rPr>
  </w:style>
  <w:style w:styleId="style26" w:type="character">
    <w:name w:val="Footnote Anchor"/>
    <w:next w:val="style26"/>
    <w:rPr>
      <w:vertAlign w:val="superscript"/>
    </w:rPr>
  </w:style>
  <w:style w:styleId="style27" w:type="paragraph">
    <w:name w:val="Heading"/>
    <w:basedOn w:val="style0"/>
    <w:next w:val="style28"/>
    <w:pPr>
      <w:keepNext/>
      <w:pBdr>
        <w:top w:val="none"/>
        <w:left w:val="none"/>
        <w:bottom w:space="0" w:sz="4" w:color="000001" w:val="single"/>
        <w:right w:val="none"/>
      </w:pBdr>
      <w:spacing w:lineRule="atLeast" w:line="100" w:after="200" w:before="0"/>
      <w:contextualSpacing/>
    </w:pPr>
    <w:rPr>
      <w:rFonts w:cs="Cambria" w:eastAsia="DejaVu Sans" w:hAnsi="Cambria" w:ascii="Cambria"/>
      <w:spacing w:val="5"/>
      <w:sz w:val="52"/>
      <w:szCs w:val="52"/>
    </w:rPr>
  </w:style>
  <w:style w:styleId="style28" w:type="paragraph">
    <w:name w:val="Text Body"/>
    <w:basedOn w:val="style0"/>
    <w:next w:val="style28"/>
    <w:pPr>
      <w:spacing w:after="120" w:before="0"/>
      <w:contextualSpacing w:val="false"/>
    </w:pPr>
    <w:rPr/>
  </w:style>
  <w:style w:styleId="style29" w:type="paragraph">
    <w:name w:val="List"/>
    <w:basedOn w:val="style28"/>
    <w:next w:val="style29"/>
    <w:pPr/>
    <w:rPr>
      <w:rFonts w:cs="Lohit Hindi"/>
    </w:rPr>
  </w:style>
  <w:style w:styleId="style30" w:type="paragraph">
    <w:name w:val="Caption"/>
    <w:basedOn w:val="style0"/>
    <w:next w:val="style30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31" w:type="paragraph">
    <w:name w:val="Index"/>
    <w:basedOn w:val="style0"/>
    <w:next w:val="style31"/>
    <w:pPr>
      <w:suppressLineNumbers/>
    </w:pPr>
    <w:rPr>
      <w:rFonts w:cs="Lohit Hindi"/>
    </w:rPr>
  </w:style>
  <w:style w:styleId="style32" w:type="paragraph">
    <w:name w:val="Абзац списка1"/>
    <w:basedOn w:val="style0"/>
    <w:next w:val="style32"/>
    <w:pPr>
      <w:spacing w:after="200" w:before="0"/>
      <w:ind w:hanging="0" w:right="0" w:left="720"/>
      <w:contextualSpacing/>
    </w:pPr>
    <w:rPr/>
  </w:style>
  <w:style w:styleId="style33" w:type="paragraph">
    <w:name w:val="Footnote"/>
    <w:basedOn w:val="style0"/>
    <w:next w:val="style33"/>
    <w:pPr>
      <w:spacing w:lineRule="atLeast" w:line="100" w:after="0" w:before="0"/>
      <w:contextualSpacing w:val="false"/>
    </w:pPr>
    <w:rPr>
      <w:sz w:val="20"/>
      <w:szCs w:val="20"/>
    </w:rPr>
  </w:style>
  <w:style w:styleId="style34" w:type="paragraph">
    <w:name w:val="Endnote"/>
    <w:basedOn w:val="style0"/>
    <w:next w:val="style34"/>
    <w:pPr>
      <w:spacing w:lineRule="atLeast" w:line="100" w:after="0" w:before="0"/>
      <w:contextualSpacing w:val="false"/>
    </w:pPr>
    <w:rPr>
      <w:sz w:val="20"/>
      <w:szCs w:val="20"/>
    </w:rPr>
  </w:style>
  <w:style w:styleId="style35" w:type="paragraph">
    <w:name w:val="Footer"/>
    <w:basedOn w:val="style0"/>
    <w:next w:val="style35"/>
    <w:pPr>
      <w:tabs>
        <w:tab w:pos="4677" w:leader="none" w:val="center"/>
        <w:tab w:pos="9355" w:leader="none" w:val="right"/>
      </w:tabs>
    </w:pPr>
    <w:rPr>
      <w:sz w:val="20"/>
      <w:szCs w:val="20"/>
    </w:rPr>
  </w:style>
  <w:style w:styleId="style36" w:type="paragraph">
    <w:name w:val="Header"/>
    <w:basedOn w:val="style0"/>
    <w:next w:val="style36"/>
    <w:pPr>
      <w:tabs>
        <w:tab w:pos="4677" w:leader="none" w:val="center"/>
        <w:tab w:pos="9355" w:leader="none" w:val="right"/>
      </w:tabs>
    </w:pPr>
    <w:rPr>
      <w:sz w:val="20"/>
      <w:szCs w:val="20"/>
    </w:rPr>
  </w:style>
  <w:style w:styleId="style37" w:type="paragraph">
    <w:name w:val="Text Body Indent"/>
    <w:basedOn w:val="style0"/>
    <w:next w:val="style37"/>
    <w:pPr>
      <w:tabs>
        <w:tab w:pos="643" w:leader="none" w:val="left"/>
      </w:tabs>
      <w:spacing w:lineRule="atLeast" w:line="360" w:after="0" w:before="0"/>
      <w:ind w:firstLine="482" w:right="0" w:left="0"/>
      <w:contextualSpacing w:val="false"/>
      <w:jc w:val="both"/>
    </w:pPr>
    <w:rPr>
      <w:rFonts w:cs="TimesET;Times New Roman" w:hAnsi="TimesET;Times New Roman" w:ascii="TimesET;Times New Roman"/>
      <w:sz w:val="28"/>
      <w:szCs w:val="20"/>
    </w:rPr>
  </w:style>
  <w:style w:styleId="style38" w:type="paragraph">
    <w:name w:val="Table Contents"/>
    <w:basedOn w:val="style0"/>
    <w:next w:val="style38"/>
    <w:pPr>
      <w:suppressLineNumbers/>
    </w:pPr>
    <w:rPr/>
  </w:style>
  <w:style w:styleId="style39" w:type="paragraph">
    <w:name w:val="Table Heading"/>
    <w:basedOn w:val="style38"/>
    <w:next w:val="style39"/>
    <w:pPr>
      <w:suppressLineNumbers/>
      <w:jc w:val="center"/>
    </w:pPr>
    <w:rPr>
      <w:b/>
      <w:bCs/>
    </w:rPr>
  </w:style>
  <w:style w:styleId="style40" w:type="paragraph">
    <w:name w:val="WW-Default Style"/>
    <w:next w:val="style40"/>
    <w:pPr>
      <w:widowControl/>
      <w:suppressAutoHyphens w:val="true"/>
      <w:spacing w:lineRule="auto" w:line="276" w:after="200" w:before="0"/>
      <w:contextualSpacing w:val="false"/>
    </w:pPr>
    <w:rPr>
      <w:rFonts w:cs="Calibri" w:eastAsia="Times New Roman" w:hAnsi="Calibri" w:ascii="Calibri"/>
      <w:color w:val="00000A"/>
      <w:sz w:val="22"/>
      <w:szCs w:val="22"/>
      <w:lang w:bidi="ar-SA" w:eastAsia="zh-CN" w:val="ru-RU"/>
    </w:rPr>
  </w:style>
  <w:style w:styleId="style41" w:type="paragraph">
    <w:name w:val="Абзац списка"/>
    <w:basedOn w:val="style0"/>
    <w:next w:val="style41"/>
    <w:pPr>
      <w:spacing w:after="200" w:before="0"/>
      <w:ind w:hanging="0" w:right="0" w:left="720"/>
      <w:contextualSpacing/>
    </w:pPr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header" Target="header1.xml"></Relationship><Relationship Id="rId3" Type="http://schemas.openxmlformats.org/officeDocument/2006/relationships/footer" Target="footer1.xml"></Relationship><Relationship Id="rId4" Type="http://schemas.openxmlformats.org/officeDocument/2006/relationships/numbering" Target="numbering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</properties:Template>
  <properties:TotalTime>60</properties:TotalTime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2013-11-13T15:41:00.00Z</dcterms:created>
  <dc:creator>ivanr_000</dc:creator>
  <cp:lastModifiedBy>docx4j</cp:lastModifiedBy>
  <dcterms:modified xmlns:xsi="http://www.w3.org/2001/XMLSchema-instance" xsi:type="dcterms:W3CDTF">2013-11-13T15:42:00.00Z</dcterms:modified>
  <cp:revision>2</cp:revision>
</cp:coreProperties>
</file>