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0C" w:rsidRPr="00596589" w:rsidRDefault="00E22C0C" w:rsidP="00E22C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589">
        <w:rPr>
          <w:rFonts w:ascii="Times New Roman" w:hAnsi="Times New Roman" w:cs="Times New Roman"/>
          <w:sz w:val="24"/>
          <w:szCs w:val="24"/>
        </w:rPr>
        <w:t>ПОЯСНИТЕЛЬНАЯ ЗАПИСКА К ПРОФЕССИОНАЛЬНОМУ СТАН</w:t>
      </w:r>
      <w:r w:rsidR="001C654F">
        <w:rPr>
          <w:rFonts w:ascii="Times New Roman" w:hAnsi="Times New Roman" w:cs="Times New Roman"/>
          <w:sz w:val="24"/>
          <w:szCs w:val="24"/>
        </w:rPr>
        <w:t>ДАРТУ «СПЕЦИАЛИСТ В ОЦЕНОЧНОЙ ДЕЯТЕЛЬНОСТИ</w:t>
      </w:r>
      <w:r w:rsidRPr="00596589">
        <w:rPr>
          <w:rFonts w:ascii="Times New Roman" w:hAnsi="Times New Roman" w:cs="Times New Roman"/>
          <w:sz w:val="24"/>
          <w:szCs w:val="24"/>
        </w:rPr>
        <w:t>»</w:t>
      </w:r>
    </w:p>
    <w:p w:rsidR="00E22C0C" w:rsidRPr="00596589" w:rsidRDefault="00E22C0C" w:rsidP="00E22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89">
        <w:rPr>
          <w:rFonts w:ascii="Times New Roman" w:hAnsi="Times New Roman" w:cs="Times New Roman"/>
          <w:sz w:val="24"/>
          <w:szCs w:val="24"/>
        </w:rPr>
        <w:t>РАЗДЕЛ 1.</w:t>
      </w:r>
      <w:r w:rsidRPr="00596589">
        <w:rPr>
          <w:rFonts w:ascii="Times New Roman" w:hAnsi="Times New Roman" w:cs="Times New Roman"/>
          <w:sz w:val="24"/>
          <w:szCs w:val="24"/>
        </w:rPr>
        <w:tab/>
        <w:t>Общая характеристика вида профессиональной деятельности</w:t>
      </w:r>
      <w:r w:rsidRPr="00596589">
        <w:rPr>
          <w:rFonts w:ascii="Times New Roman" w:hAnsi="Times New Roman" w:cs="Times New Roman"/>
          <w:sz w:val="24"/>
          <w:szCs w:val="24"/>
        </w:rPr>
        <w:tab/>
      </w:r>
    </w:p>
    <w:p w:rsidR="00E22C0C" w:rsidRPr="00596589" w:rsidRDefault="00E22C0C" w:rsidP="00E22C0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C908EF">
        <w:rPr>
          <w:rFonts w:ascii="Times New Roman" w:hAnsi="Times New Roman" w:cs="Times New Roman"/>
          <w:b/>
          <w:sz w:val="24"/>
          <w:szCs w:val="24"/>
        </w:rPr>
        <w:t>б изменениях в профессиональный стандарт.</w:t>
      </w:r>
    </w:p>
    <w:p w:rsidR="003E7FDC" w:rsidRPr="003E7FDC" w:rsidRDefault="00E22C0C" w:rsidP="003E7FD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589">
        <w:rPr>
          <w:rFonts w:ascii="Times New Roman" w:hAnsi="Times New Roman" w:cs="Times New Roman"/>
          <w:sz w:val="24"/>
          <w:szCs w:val="24"/>
        </w:rPr>
        <w:tab/>
      </w: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В целях обсуждения необходимости актуализации 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«Специалист в оценочной деятельности» в рамках Международной научно-методической конференции «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>-технологии в образовании: портрет выпускника 2020» 23 марта 2017 г. состоялся Круглый стол «Государственные требования к квалификации специалистов, осуществляющих публично-правовые функции на финансовом рынке».</w:t>
      </w:r>
    </w:p>
    <w:p w:rsidR="003E7FDC" w:rsidRPr="003E7FDC" w:rsidRDefault="003E7FDC" w:rsidP="003E7FD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>Обсужден проект Отраслевой рамки квалификации «Специалист в оценочной деятельности»</w:t>
      </w:r>
      <w:r w:rsidR="002404CF">
        <w:rPr>
          <w:rFonts w:ascii="Times New Roman" w:hAnsi="Times New Roman" w:cs="Times New Roman"/>
          <w:sz w:val="24"/>
          <w:szCs w:val="24"/>
        </w:rPr>
        <w:t xml:space="preserve"> и вопросы актуализации профессионального стандарта «Специалист в оценочной деятельности»</w:t>
      </w:r>
      <w:r w:rsidRPr="003E7FDC">
        <w:rPr>
          <w:rFonts w:ascii="Times New Roman" w:hAnsi="Times New Roman" w:cs="Times New Roman"/>
          <w:sz w:val="24"/>
          <w:szCs w:val="24"/>
        </w:rPr>
        <w:t>.</w:t>
      </w:r>
    </w:p>
    <w:p w:rsidR="003E7FDC" w:rsidRPr="003E7FDC" w:rsidRDefault="003E7FDC" w:rsidP="003E7FD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В целях обсуждения необходимости актуализации 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«Специалист в оценочной деятельности» и информирования оценочного сообщества о деятельности Комиссии</w:t>
      </w:r>
      <w:r w:rsidR="00C908EF">
        <w:rPr>
          <w:rFonts w:ascii="Times New Roman" w:hAnsi="Times New Roman" w:cs="Times New Roman"/>
          <w:sz w:val="24"/>
          <w:szCs w:val="24"/>
        </w:rPr>
        <w:t xml:space="preserve"> по профессиональным квалификациям в области оценочной деятельности СПК финансового рынка</w:t>
      </w:r>
      <w:r w:rsidRPr="003E7FDC">
        <w:rPr>
          <w:rFonts w:ascii="Times New Roman" w:hAnsi="Times New Roman" w:cs="Times New Roman"/>
          <w:sz w:val="24"/>
          <w:szCs w:val="24"/>
        </w:rPr>
        <w:t xml:space="preserve"> 03 апреля 2017 г. Комитетом по финансовым услугам (подкомитет по оценочной деятельности) Деловой России провел круглый стол «О развитии межведомственного взаимодействия при выработке основ государственной политики развития отраслей и осуществлении контроля (надзора)».</w:t>
      </w:r>
    </w:p>
    <w:p w:rsidR="003E7FDC" w:rsidRPr="003E7FDC" w:rsidRDefault="003E7FDC" w:rsidP="003E7FD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В рамках данного круглого стола была обсужден проект Отраслевой рамки квалификации «Специалист в оценочной деятельности» и проект Приказа Минэкономразвития России о порядке проведения квалификационного экзамена оценщиков. Участники круглого стола констатировали недопустимость принятия Приказа Минэкономразвития России о проведении квалификационного экзамена оценщиков в отрыве от базовых принципов ФЗ «О независимой оценке квалификаций» и без учета позиции СПКФР и требований 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«Специалист в оценочной деятельности».</w:t>
      </w: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В Национальном Совете по оценочной деятельности прошло обсуждение профессионального стандарта «Специалист в оценочной деятельности». Членами Комиссии Е.В. Петровской, И.А. Шевцовой, М.А. Власовой 12 апреля 2017 г. подготовлено письмо с позицией Национального Совета по оценочной деятельности </w:t>
      </w:r>
      <w:r w:rsidRPr="003E7FDC">
        <w:rPr>
          <w:rFonts w:ascii="Times New Roman" w:hAnsi="Times New Roman" w:cs="Times New Roman"/>
          <w:sz w:val="24"/>
          <w:szCs w:val="24"/>
        </w:rPr>
        <w:lastRenderedPageBreak/>
        <w:t xml:space="preserve">о недопустимости принятия Приказа Минэкономразвития России о проведении квалификационного экзамена без учета положений 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«Специалист в оценочной деятельности»</w:t>
      </w:r>
    </w:p>
    <w:p w:rsidR="003E7FDC" w:rsidRPr="003E7FDC" w:rsidRDefault="003E7FDC" w:rsidP="003E7FD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>Письмо представлено в адрес Минэкономразвития России.</w:t>
      </w: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17 апреля 2017 г. в рамках очередного заседания Комиссии рассмотрены проекты оценочных </w:t>
      </w:r>
      <w:proofErr w:type="gramStart"/>
      <w:r w:rsidRPr="003E7FDC">
        <w:rPr>
          <w:rFonts w:ascii="Times New Roman" w:hAnsi="Times New Roman" w:cs="Times New Roman"/>
          <w:sz w:val="24"/>
          <w:szCs w:val="24"/>
        </w:rPr>
        <w:t>средств :</w:t>
      </w:r>
      <w:proofErr w:type="gramEnd"/>
    </w:p>
    <w:p w:rsidR="003E7FDC" w:rsidRPr="003E7FDC" w:rsidRDefault="003E7FDC" w:rsidP="003E7FD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>КОС «Оценщик культурных ценностей» 6 уровня квалификации;</w:t>
      </w:r>
    </w:p>
    <w:p w:rsidR="003E7FDC" w:rsidRPr="003E7FDC" w:rsidRDefault="003E7FDC" w:rsidP="003E7FD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КОС «Оценщик объектов </w:t>
      </w:r>
      <w:r w:rsidRPr="003E7F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7FDC">
        <w:rPr>
          <w:rFonts w:ascii="Times New Roman" w:hAnsi="Times New Roman" w:cs="Times New Roman"/>
          <w:sz w:val="24"/>
          <w:szCs w:val="24"/>
        </w:rPr>
        <w:t xml:space="preserve"> категории сложности 6 уровня квалификации;</w:t>
      </w:r>
    </w:p>
    <w:p w:rsidR="003E7FDC" w:rsidRPr="003E7FDC" w:rsidRDefault="003E7FDC" w:rsidP="003E7FD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>КОС «Кадастровый оценщик»</w:t>
      </w:r>
    </w:p>
    <w:p w:rsidR="003E7FDC" w:rsidRPr="003E7FDC" w:rsidRDefault="003E7FDC" w:rsidP="003E7FD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Практические задания для квалификации Оценщик объектов </w:t>
      </w:r>
      <w:r w:rsidRPr="003E7F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7FDC">
        <w:rPr>
          <w:rFonts w:ascii="Times New Roman" w:hAnsi="Times New Roman" w:cs="Times New Roman"/>
          <w:sz w:val="24"/>
          <w:szCs w:val="24"/>
        </w:rPr>
        <w:t>I категории сложности 7 уровня квалификации;</w:t>
      </w: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>На межрегиональном Форуме оценщиков в Черноземье 01 июня 2017 прошло обсуждение Отраслевой рамки квалификации «Специалист в оценочной деятельности». Участники предложили внести изменения в профессиональный стандарт «Специалист в оценочной деятельности». Предложения будут направлены в Совет по профессиональным квалификациям финансового рынка.</w:t>
      </w:r>
    </w:p>
    <w:p w:rsidR="003E7FDC" w:rsidRPr="003E7FDC" w:rsidRDefault="003E7FDC" w:rsidP="003E7F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FDC">
        <w:rPr>
          <w:rFonts w:ascii="Times New Roman" w:hAnsi="Times New Roman" w:cs="Times New Roman"/>
          <w:sz w:val="24"/>
          <w:szCs w:val="24"/>
        </w:rPr>
        <w:t xml:space="preserve">22 июня 2017 на конференции Ассоциации Банков Северо-Запада «Консолидация Банков, оценщиков, арбитражных управляющих-вектор снижения неликвидных активов» была представлена Отраслевая рамка квалификации «Специалист в оценочной деятельности». Принятие Положения Банка России от 26 декабря 2016 г. № 570-П “О порядке проведения Банком России экспертизы предмета залога, принятого кредитной организацией в качестве обеспечения по ссуде” вызовет необходимость актуализации </w:t>
      </w:r>
      <w:proofErr w:type="spellStart"/>
      <w:r w:rsidRPr="003E7FDC">
        <w:rPr>
          <w:rFonts w:ascii="Times New Roman" w:hAnsi="Times New Roman" w:cs="Times New Roman"/>
          <w:sz w:val="24"/>
          <w:szCs w:val="24"/>
        </w:rPr>
        <w:t>простандарта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«Специалист в оценочной деятельности» в части расширения трудовых действий оценщиков по анализу </w:t>
      </w:r>
      <w:proofErr w:type="spellStart"/>
      <w:proofErr w:type="gramStart"/>
      <w:r w:rsidRPr="003E7FDC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3E7FDC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E7FDC">
        <w:rPr>
          <w:rFonts w:ascii="Times New Roman" w:hAnsi="Times New Roman" w:cs="Times New Roman"/>
          <w:sz w:val="24"/>
          <w:szCs w:val="24"/>
        </w:rPr>
        <w:t xml:space="preserve"> ликвидности объекта оценки.</w:t>
      </w:r>
    </w:p>
    <w:p w:rsidR="00E22C0C" w:rsidRPr="00596589" w:rsidRDefault="00E22C0C" w:rsidP="00E22C0C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sz w:val="24"/>
          <w:szCs w:val="24"/>
        </w:rPr>
        <w:tab/>
      </w:r>
      <w:r w:rsidRPr="00596589">
        <w:rPr>
          <w:rFonts w:ascii="Times New Roman" w:hAnsi="Times New Roman" w:cs="Times New Roman"/>
          <w:sz w:val="24"/>
          <w:szCs w:val="24"/>
        </w:rPr>
        <w:tab/>
      </w:r>
    </w:p>
    <w:p w:rsidR="00E22C0C" w:rsidRDefault="00E22C0C" w:rsidP="00E22C0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(подуровням) квалификации.</w:t>
      </w:r>
    </w:p>
    <w:p w:rsidR="001C654F" w:rsidRPr="00CE65F2" w:rsidRDefault="00CE65F2" w:rsidP="001C654F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CE65F2">
        <w:rPr>
          <w:rFonts w:ascii="Times New Roman" w:hAnsi="Times New Roman" w:cs="Times New Roman"/>
          <w:sz w:val="24"/>
          <w:szCs w:val="24"/>
        </w:rPr>
        <w:t xml:space="preserve"> к изменению </w:t>
      </w:r>
      <w:r>
        <w:rPr>
          <w:rFonts w:ascii="Times New Roman" w:hAnsi="Times New Roman" w:cs="Times New Roman"/>
          <w:sz w:val="24"/>
          <w:szCs w:val="24"/>
        </w:rPr>
        <w:t>описания квалификаций профессионального стандарта.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795"/>
        <w:gridCol w:w="2386"/>
        <w:gridCol w:w="1694"/>
        <w:gridCol w:w="3220"/>
        <w:gridCol w:w="905"/>
      </w:tblGrid>
      <w:tr w:rsidR="00523FD3" w:rsidRPr="00523FD3" w:rsidTr="00523FD3">
        <w:trPr>
          <w:trHeight w:val="13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  <w:tr w:rsidR="00523FD3" w:rsidRPr="00523FD3" w:rsidTr="00523FD3">
        <w:trPr>
          <w:trHeight w:val="5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Вспомогательная деятельность при определении стоимостей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вспомогательных работ при определении стоимостей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A/01.5</w:t>
            </w:r>
          </w:p>
        </w:tc>
      </w:tr>
      <w:tr w:rsidR="00523FD3" w:rsidRPr="00523FD3" w:rsidTr="00523FD3">
        <w:trPr>
          <w:trHeight w:val="52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и фотографирование объектов для определения стоимостей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A/02.5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 категории сложности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серийно выпускаемых в настоящее время транспортных средств (далее - транспортные средства 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</w:p>
        </w:tc>
      </w:tr>
      <w:tr w:rsidR="00523FD3" w:rsidRPr="00523FD3" w:rsidTr="00523FD3">
        <w:trPr>
          <w:trHeight w:val="103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массово (серийно) представленного движимого имущества (движимого имущества 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B/02.6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недвижимого имущества, за исключением недвижимого имущества, относящегося ко II и к III категориям сложности (далее - недвижимое имущество 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B/03.6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предприятий, за исключением относящихся ко II и к III категориям сложности (далее - предприятия 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культурных ценностей, возраст которых не превышает пятидесяти лет (культурных ценностей 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II категории сложности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транспортных средств, выпускаемых ограниченными сериями, а также тех, выпуск которых прекращен не более тридцати лет назад (далее - транспортные средства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C/01.7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движимого имущества, выпущенного ограниченными сериями, а также извлеченных (добытых из недр) полезных ископаемых и сырья (далее - движимое имущество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C/02.7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месторождений полезных ископаемых, участков недр и прав, связанных с ними (далее - недвижимое имущество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C/03.7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предприятий добывающих отраслей, многопрофильных холдингов, за исключением предприятий, относящихся к III категории сложности (далее - предприятия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C/04.7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интеллектуальной собственности, за исключением интеллектуальной собственности, относящейся к III категории сложности (далее - интеллектуальная собственность I и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C/05.7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культурных ценностей, возраст которых более пятидесяти лет, но не более ста лет (далее - культурные ценности 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C/06.7</w:t>
            </w:r>
          </w:p>
        </w:tc>
      </w:tr>
      <w:tr w:rsidR="00523FD3" w:rsidRPr="00523FD3" w:rsidTr="00523FD3">
        <w:trPr>
          <w:trHeight w:val="5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кадастровой стоимости объектов недвижимости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кадастровой стоимости земельных участков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D/01.7</w:t>
            </w:r>
          </w:p>
        </w:tc>
      </w:tr>
      <w:tr w:rsidR="00523FD3" w:rsidRPr="00523FD3" w:rsidTr="00523FD3">
        <w:trPr>
          <w:trHeight w:val="52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кадастровой стоимости объектов капитального строительства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D/02.7</w:t>
            </w:r>
          </w:p>
        </w:tc>
      </w:tr>
      <w:tr w:rsidR="00523FD3" w:rsidRPr="00523FD3" w:rsidTr="00523FD3">
        <w:trPr>
          <w:trHeight w:val="1545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объектов III категории сложности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транспортных средств, выпуск которых прекращен более тридцати лет назад, и уникальных транспортных средств (далее - транспортные средства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E/01.8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уникального и представленного в единичных образцах движимого имущества (далее - движимое имущество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E/02.8</w:t>
            </w:r>
          </w:p>
        </w:tc>
      </w:tr>
      <w:tr w:rsidR="00523FD3" w:rsidRPr="00523FD3" w:rsidTr="00523FD3">
        <w:trPr>
          <w:trHeight w:val="205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земель особо охраняемых территорий и объектов, памятников архитектуры и объектов культурного наследия (относящихся к недвижимому имуществу) и прав, связанных с ними (далее - недвижимое имущество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E/03.8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стоимостей кредитных и </w:t>
            </w:r>
            <w:proofErr w:type="spellStart"/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финансовых организаций, транснациональных организаций (далее - организации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E/04.8</w:t>
            </w:r>
          </w:p>
        </w:tc>
      </w:tr>
      <w:tr w:rsidR="00523FD3" w:rsidRPr="00523FD3" w:rsidTr="00523FD3">
        <w:trPr>
          <w:trHeight w:val="180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стоимостей произведений науки, литературы и искусства, исполнений, фонограмм, сообщений в эфир или по </w:t>
            </w:r>
            <w:proofErr w:type="gramStart"/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кабелю</w:t>
            </w:r>
            <w:proofErr w:type="gramEnd"/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радио- или телепередач (далее - интеллектуальная собственность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E/05.8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стоимостей культурных ценностей, возраст которых превышает сто лет (далее - культурные ценности III категории сложности)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E/06.8</w:t>
            </w:r>
          </w:p>
        </w:tc>
      </w:tr>
      <w:tr w:rsidR="00523FD3" w:rsidRPr="00523FD3" w:rsidTr="00523FD3">
        <w:trPr>
          <w:trHeight w:val="78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группой специалистов при определении стоимостей объектов (по направлениям)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E/07.8</w:t>
            </w:r>
          </w:p>
        </w:tc>
      </w:tr>
      <w:tr w:rsidR="00523FD3" w:rsidRPr="00523FD3" w:rsidTr="00523FD3">
        <w:trPr>
          <w:trHeight w:val="78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Экспертиза/проверка при определении стоимостей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Экспертиза/проверка итогового документа об определении стоимостей (по направлениям)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F/01.8</w:t>
            </w:r>
          </w:p>
        </w:tc>
      </w:tr>
      <w:tr w:rsidR="00523FD3" w:rsidRPr="00523FD3" w:rsidTr="00523FD3">
        <w:trPr>
          <w:trHeight w:val="54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G/01.8</w:t>
            </w:r>
          </w:p>
        </w:tc>
      </w:tr>
      <w:tr w:rsidR="00523FD3" w:rsidRPr="00523FD3" w:rsidTr="00523FD3">
        <w:trPr>
          <w:trHeight w:val="78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G/02.8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H/01.8</w:t>
            </w:r>
          </w:p>
        </w:tc>
      </w:tr>
      <w:tr w:rsidR="00523FD3" w:rsidRPr="00523FD3" w:rsidTr="00523FD3">
        <w:trPr>
          <w:trHeight w:val="1290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аттестации (оценка квалификации) и контроль повышения профессионального уровня работников в структурном подразделении или в оценочной организации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D3" w:rsidRPr="00523FD3" w:rsidRDefault="00523FD3" w:rsidP="0052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H/02.8</w:t>
            </w:r>
          </w:p>
        </w:tc>
      </w:tr>
    </w:tbl>
    <w:p w:rsidR="00523FD3" w:rsidRDefault="00523FD3" w:rsidP="001C654F">
      <w:pPr>
        <w:spacing w:line="360" w:lineRule="auto"/>
        <w:ind w:left="70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0C" w:rsidRDefault="00E22C0C" w:rsidP="00E22C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1.3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Описание состава трудовых функций и обоснование их отнесения к конкретным уровням (подуровням) квалификаций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1C654F" w:rsidRPr="001C654F" w:rsidRDefault="001C654F" w:rsidP="001C654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К 6-му уровню квалификации относится самостоятельная деятельность, предполагающая определение задач собственной работы и/или подчиненных по достижению цели, обеспечение взаимодействия сотрудников и смежных подразделений, ответственность за результат выполнения работ на уровне подразделения или организации, разработка, внедрение, контроль, оценка и корректировка направлений профессиональной деятельности, технологических или методических решений, применение профессиональных знаний технологического или методического характера, в том числе, инновационных, самостоятельный поиск, анализ и оценка профессиональной информации  Для достижения уровня необходимо прохождение образовательных программ высшего образования - программы </w:t>
      </w:r>
      <w:proofErr w:type="spellStart"/>
      <w:r w:rsidRPr="001C65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бакалавриата</w:t>
      </w:r>
      <w:proofErr w:type="spellEnd"/>
      <w:r w:rsidRPr="001C654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образовательных программ среднего профессионального образования - программ подготовки специалистов среднего звена Дополнительные профессиональные программы Практический опыт .</w:t>
      </w:r>
    </w:p>
    <w:p w:rsidR="001C654F" w:rsidRPr="001C654F" w:rsidRDefault="001C654F" w:rsidP="001C654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54F" w:rsidRPr="001C654F" w:rsidRDefault="001C654F" w:rsidP="001C65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7-му уровню квалификации относится определение стратегии, управление процессами и деятельностью, в том числе, инновационной, с принятием решения на уровне крупных организаций или подразделений, ответственность за результаты деятельности крупных организаций или подразделений, решение задач развития области профессиональной деятельности и (или) организации с использованием разнообразных методов и технологий, в том числе, инновационных, разработка новых методов, технологий, понимание методологических основ профессиональной деятельности, создание новых знаний прикладного характера в определенной области, определение источников и поиск информации, необходимой для развития области профессиональной деятельности и /или организации. Для достижения уровня необходимо прохождение образовательных программ высшего образования - программ магистратуры или </w:t>
      </w:r>
      <w:proofErr w:type="spellStart"/>
      <w:r w:rsidRPr="001C6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C65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дополнительных профессиональных программ и практический опыт.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C0C" w:rsidRPr="00596589" w:rsidRDefault="00E22C0C" w:rsidP="00E22C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Основные этапы разработки проекта профессионального стандарта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E22C0C" w:rsidRPr="00596589" w:rsidRDefault="00E22C0C" w:rsidP="00E22C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2.1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Информация об организациях, на базе которых проводились исследования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E22C0C" w:rsidRPr="00596589" w:rsidRDefault="00E22C0C" w:rsidP="00E22C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C0C" w:rsidRPr="00596589" w:rsidRDefault="00E22C0C" w:rsidP="00E22C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89">
        <w:rPr>
          <w:rFonts w:ascii="Times New Roman" w:hAnsi="Times New Roman" w:cs="Times New Roman"/>
          <w:b/>
          <w:sz w:val="24"/>
          <w:szCs w:val="24"/>
        </w:rPr>
        <w:t>2.2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  <w:t>Описание требований к экспертам (квалификация, категории, количество), привлекаемым к разработке проекта профессионального стандарта, и описание использованных методов</w:t>
      </w:r>
      <w:r w:rsidRPr="00596589">
        <w:rPr>
          <w:rFonts w:ascii="Times New Roman" w:hAnsi="Times New Roman" w:cs="Times New Roman"/>
          <w:b/>
          <w:sz w:val="24"/>
          <w:szCs w:val="24"/>
        </w:rPr>
        <w:tab/>
      </w:r>
    </w:p>
    <w:p w:rsidR="001C654F" w:rsidRPr="001C654F" w:rsidRDefault="001C654F" w:rsidP="001C65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К процессу разработки и согласования проекта профессионального стандарта были привлечены высококвалифицированные специалисты и эксперты из числа банковских работников и профессорско-преподавательского состава финансово-экономических вузов, в первую очередь, Финансового университета при Правительстве Российской Федерации. Главными критериями для выбора экспертов стали: наличие высшего и дополнительного финансово-экономического образования, наличие российских и международных сертификатов, стаж работы (не менее пяти лет в области лизинга и смежных областях), членство в профессиональных ассоциациях, союзах и т.д.</w:t>
      </w:r>
    </w:p>
    <w:p w:rsidR="001C654F" w:rsidRPr="001C654F" w:rsidRDefault="001C654F" w:rsidP="001C65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 xml:space="preserve">Согласно Приказа Министерства труда и социального развития Российской Федерации от 12 апреля 2013 года № 148н «Об утверждении уровней квалификации в целях разработки проектов профессиональных стандартов» эксперты должны соответствовать уровню квалификации не ниже 7 уровня, то есть иметь соответствующие знания (понимание методологических основ профессиональной деятельности, создание новых </w:t>
      </w:r>
      <w:r w:rsidRPr="001C654F">
        <w:rPr>
          <w:rFonts w:ascii="Times New Roman" w:hAnsi="Times New Roman" w:cs="Times New Roman"/>
          <w:sz w:val="24"/>
          <w:szCs w:val="24"/>
        </w:rPr>
        <w:lastRenderedPageBreak/>
        <w:t xml:space="preserve">знаний прикладного характера в определенной области, определение источников и </w:t>
      </w:r>
      <w:proofErr w:type="spellStart"/>
      <w:r w:rsidRPr="001C654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C654F">
        <w:rPr>
          <w:rFonts w:ascii="Times New Roman" w:hAnsi="Times New Roman" w:cs="Times New Roman"/>
          <w:sz w:val="24"/>
          <w:szCs w:val="24"/>
        </w:rPr>
        <w:t xml:space="preserve"> поиск информации, необходимой для развития области профессиональной деятельности и организации) и умения (развитие задач области профессиональной деятельности и организации при помощи разнообразных методов и технологий, в том числе инновационных. Разработка новых методов, технологий).</w:t>
      </w:r>
    </w:p>
    <w:p w:rsidR="001C654F" w:rsidRPr="001C654F" w:rsidRDefault="001C654F" w:rsidP="001C65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 xml:space="preserve">С целью формирования реестра экспертов была осуществлена рассылка в профильные организации писем с запросом на предоставление данных о работающих специалистов данного профиля. На основании полученных сведений был составлен реестр экспертов, который включает ФИО эксперта, контактные данные, информацию об образовании (ВПО, ДПО), опыте и стаже работы. 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К разработке профессионального стандарта было привлечено 50 экспертов в области лизинга и смежных областей финансового рынка.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При разработке профессионального стандарта использовались различные методы, и прежде всего: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- метод анализа (в т. нормативных документов);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- метод синтеза;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- моделирование;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 xml:space="preserve">-метод экспертных оценок;                           </w:t>
      </w:r>
    </w:p>
    <w:p w:rsidR="001C654F" w:rsidRPr="001C654F" w:rsidRDefault="001C654F" w:rsidP="001C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- социологические методы (опрос, анкетирование).</w:t>
      </w:r>
    </w:p>
    <w:p w:rsidR="00E22C0C" w:rsidRPr="00596589" w:rsidRDefault="001C654F" w:rsidP="001C654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С целью актуализации профессионального стандарта «Специалист по страхованию» создана следующая рабочая группа.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54F">
        <w:rPr>
          <w:rFonts w:ascii="Times New Roman" w:hAnsi="Times New Roman" w:cs="Times New Roman"/>
          <w:sz w:val="24"/>
          <w:szCs w:val="24"/>
        </w:rPr>
        <w:t>Е.В. Петровской, И.А. Шевцовой, М.А. Власовой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Х.А.Мамаджанов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2C0C" w:rsidRPr="001C654F" w:rsidRDefault="001C654F" w:rsidP="001C654F">
      <w:pPr>
        <w:pStyle w:val="a8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0C" w:rsidRPr="001C654F">
        <w:rPr>
          <w:rFonts w:ascii="Times New Roman" w:hAnsi="Times New Roman" w:cs="Times New Roman"/>
          <w:b/>
          <w:sz w:val="24"/>
          <w:szCs w:val="24"/>
        </w:rPr>
        <w:t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стандарта.</w:t>
      </w:r>
    </w:p>
    <w:p w:rsidR="00E22C0C" w:rsidRPr="00596589" w:rsidRDefault="001C654F" w:rsidP="002404C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4F">
        <w:rPr>
          <w:rFonts w:ascii="Times New Roman" w:hAnsi="Times New Roman" w:cs="Times New Roman"/>
          <w:sz w:val="24"/>
          <w:szCs w:val="24"/>
        </w:rPr>
        <w:t>Федеральный закон "Об оценочной деятельности в Российской Федерации" от 29.07.1998 N 135-ФЗ (последняя редакция).</w:t>
      </w:r>
      <w:bookmarkStart w:id="0" w:name="_GoBack"/>
      <w:bookmarkEnd w:id="0"/>
    </w:p>
    <w:p w:rsidR="00E22C0C" w:rsidRPr="00596589" w:rsidRDefault="00E22C0C" w:rsidP="00E22C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FB6" w:rsidRDefault="001D4FB6"/>
    <w:sectPr w:rsidR="001D4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55" w:rsidRDefault="00546255">
      <w:pPr>
        <w:spacing w:after="0" w:line="240" w:lineRule="auto"/>
      </w:pPr>
      <w:r>
        <w:separator/>
      </w:r>
    </w:p>
  </w:endnote>
  <w:endnote w:type="continuationSeparator" w:id="0">
    <w:p w:rsidR="00546255" w:rsidRDefault="005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F" w:rsidRDefault="001C65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1C654F" w:rsidRPr="00B83DD7" w:rsidRDefault="001C654F" w:rsidP="00B83D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F" w:rsidRDefault="001C65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04CF">
      <w:rPr>
        <w:noProof/>
      </w:rPr>
      <w:t>7</w:t>
    </w:r>
    <w:r>
      <w:fldChar w:fldCharType="end"/>
    </w:r>
  </w:p>
  <w:p w:rsidR="001C654F" w:rsidRDefault="001C6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55" w:rsidRDefault="00546255">
      <w:pPr>
        <w:spacing w:after="0" w:line="240" w:lineRule="auto"/>
      </w:pPr>
      <w:r>
        <w:separator/>
      </w:r>
    </w:p>
  </w:footnote>
  <w:footnote w:type="continuationSeparator" w:id="0">
    <w:p w:rsidR="00546255" w:rsidRDefault="005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F" w:rsidRDefault="0054625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67850" o:spid="_x0000_s2052" type="#_x0000_t136" style="position:absolute;margin-left:95.55pt;margin-top:28.45pt;width:515.25pt;height:171.75pt;rotation:315;z-index:-251656192;mso-position-horizontal-relative:margin;mso-position-vertical-relative:margin" o:allowincell="f" fillcolor="gray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F" w:rsidRPr="001513B7" w:rsidRDefault="001C654F" w:rsidP="001513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F" w:rsidRDefault="0054625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67849" o:spid="_x0000_s2051" type="#_x0000_t136" style="position:absolute;margin-left:0;margin-top:0;width:515.25pt;height:171.7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6B6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157"/>
    <w:multiLevelType w:val="hybridMultilevel"/>
    <w:tmpl w:val="3D0C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CCD"/>
    <w:multiLevelType w:val="hybridMultilevel"/>
    <w:tmpl w:val="39F6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0E9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1BA"/>
    <w:multiLevelType w:val="multilevel"/>
    <w:tmpl w:val="43AA36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24CF1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9D8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5409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E0A09"/>
    <w:multiLevelType w:val="hybridMultilevel"/>
    <w:tmpl w:val="CB12E89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B26052B"/>
    <w:multiLevelType w:val="hybridMultilevel"/>
    <w:tmpl w:val="EFC8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35734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83041"/>
    <w:multiLevelType w:val="hybridMultilevel"/>
    <w:tmpl w:val="AF72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1390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C91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C40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D7F7B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F4478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4A83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A61"/>
    <w:multiLevelType w:val="hybridMultilevel"/>
    <w:tmpl w:val="316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5B61"/>
    <w:multiLevelType w:val="hybridMultilevel"/>
    <w:tmpl w:val="C942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E42D9"/>
    <w:multiLevelType w:val="hybridMultilevel"/>
    <w:tmpl w:val="838866C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82E2178"/>
    <w:multiLevelType w:val="hybridMultilevel"/>
    <w:tmpl w:val="4EEA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0C4C"/>
    <w:multiLevelType w:val="multilevel"/>
    <w:tmpl w:val="ED9E4A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871610"/>
    <w:multiLevelType w:val="hybridMultilevel"/>
    <w:tmpl w:val="9BFA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1D6E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E41C7"/>
    <w:multiLevelType w:val="hybridMultilevel"/>
    <w:tmpl w:val="2D3A57EC"/>
    <w:lvl w:ilvl="0" w:tplc="195AF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F3AB8"/>
    <w:multiLevelType w:val="multilevel"/>
    <w:tmpl w:val="4EA0C6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8"/>
  </w:num>
  <w:num w:numId="5">
    <w:abstractNumId w:val="20"/>
  </w:num>
  <w:num w:numId="6">
    <w:abstractNumId w:val="3"/>
  </w:num>
  <w:num w:numId="7">
    <w:abstractNumId w:val="14"/>
  </w:num>
  <w:num w:numId="8">
    <w:abstractNumId w:val="12"/>
  </w:num>
  <w:num w:numId="9">
    <w:abstractNumId w:val="24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7"/>
  </w:num>
  <w:num w:numId="15">
    <w:abstractNumId w:val="4"/>
  </w:num>
  <w:num w:numId="16">
    <w:abstractNumId w:val="26"/>
  </w:num>
  <w:num w:numId="17">
    <w:abstractNumId w:val="25"/>
  </w:num>
  <w:num w:numId="18">
    <w:abstractNumId w:val="15"/>
  </w:num>
  <w:num w:numId="19">
    <w:abstractNumId w:val="0"/>
  </w:num>
  <w:num w:numId="20">
    <w:abstractNumId w:val="7"/>
  </w:num>
  <w:num w:numId="21">
    <w:abstractNumId w:val="10"/>
  </w:num>
  <w:num w:numId="22">
    <w:abstractNumId w:val="1"/>
  </w:num>
  <w:num w:numId="23">
    <w:abstractNumId w:val="18"/>
  </w:num>
  <w:num w:numId="24">
    <w:abstractNumId w:val="19"/>
  </w:num>
  <w:num w:numId="25">
    <w:abstractNumId w:val="9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C"/>
    <w:rsid w:val="001C654F"/>
    <w:rsid w:val="001D4FB6"/>
    <w:rsid w:val="002404CF"/>
    <w:rsid w:val="003E7FDC"/>
    <w:rsid w:val="00523FD3"/>
    <w:rsid w:val="00546255"/>
    <w:rsid w:val="00C908EF"/>
    <w:rsid w:val="00CE65F2"/>
    <w:rsid w:val="00E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E58D839-6749-492C-B255-D176B5A2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FDC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1C6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C6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Бровчак Сергей Валентинович</dc:creator>
  <cp:keywords/>
  <dc:description/>
  <cp:lastModifiedBy>Бровчак Сергей Валентинович</cp:lastModifiedBy>
  <cp:revision>4</cp:revision>
  <dcterms:created xsi:type="dcterms:W3CDTF">2017-07-04T14:21:00Z</dcterms:created>
  <dcterms:modified xsi:type="dcterms:W3CDTF">2017-07-05T09:20:00Z</dcterms:modified>
</cp:coreProperties>
</file>