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B989" w14:textId="77777777" w:rsidR="008F1DFB" w:rsidRPr="007A3503" w:rsidRDefault="008F1DFB" w:rsidP="008F1DFB">
      <w:pPr>
        <w:jc w:val="center"/>
        <w:rPr>
          <w:rFonts w:ascii="Times New Roman" w:hAnsi="Times New Roman"/>
          <w:b/>
          <w:bCs/>
          <w:sz w:val="22"/>
          <w:szCs w:val="22"/>
        </w:rPr>
      </w:pPr>
      <w:r w:rsidRPr="007A3503">
        <w:rPr>
          <w:rFonts w:ascii="Times New Roman" w:hAnsi="Times New Roman"/>
          <w:b/>
          <w:bCs/>
          <w:sz w:val="22"/>
          <w:szCs w:val="22"/>
        </w:rPr>
        <w:t xml:space="preserve">Программа повышения квалификации </w:t>
      </w:r>
    </w:p>
    <w:p w14:paraId="422AAD03" w14:textId="77777777" w:rsidR="008F1DFB" w:rsidRPr="007A3503" w:rsidRDefault="008F1DFB" w:rsidP="008F1DFB">
      <w:pPr>
        <w:jc w:val="center"/>
        <w:rPr>
          <w:rFonts w:ascii="Times New Roman" w:hAnsi="Times New Roman"/>
          <w:b/>
          <w:bCs/>
          <w:sz w:val="22"/>
          <w:szCs w:val="22"/>
        </w:rPr>
      </w:pPr>
      <w:r w:rsidRPr="007A3503">
        <w:rPr>
          <w:rFonts w:ascii="Times New Roman" w:hAnsi="Times New Roman"/>
          <w:b/>
          <w:bCs/>
          <w:sz w:val="22"/>
          <w:szCs w:val="22"/>
        </w:rPr>
        <w:t>«</w:t>
      </w:r>
      <w:proofErr w:type="gramStart"/>
      <w:r w:rsidRPr="007A3503">
        <w:rPr>
          <w:rFonts w:ascii="Times New Roman" w:hAnsi="Times New Roman"/>
          <w:b/>
          <w:bCs/>
          <w:sz w:val="22"/>
          <w:szCs w:val="22"/>
        </w:rPr>
        <w:t>Эксперт по независимой оценке</w:t>
      </w:r>
      <w:proofErr w:type="gramEnd"/>
      <w:r w:rsidRPr="007A3503">
        <w:rPr>
          <w:rFonts w:ascii="Times New Roman" w:hAnsi="Times New Roman"/>
          <w:b/>
          <w:bCs/>
          <w:sz w:val="22"/>
          <w:szCs w:val="22"/>
        </w:rPr>
        <w:t xml:space="preserve"> квалификации специалистов финансового рынка» </w:t>
      </w:r>
    </w:p>
    <w:p w14:paraId="7A3C29AC" w14:textId="77777777" w:rsidR="008F1DFB" w:rsidRPr="007A3503" w:rsidRDefault="008F1DFB" w:rsidP="008F1DFB">
      <w:pPr>
        <w:jc w:val="center"/>
        <w:rPr>
          <w:rFonts w:ascii="Times New Roman" w:hAnsi="Times New Roman"/>
          <w:b/>
          <w:bCs/>
          <w:sz w:val="22"/>
          <w:szCs w:val="22"/>
        </w:rPr>
      </w:pPr>
    </w:p>
    <w:p w14:paraId="7117A6AA"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1. Цель реализации программы:</w:t>
      </w:r>
    </w:p>
    <w:p w14:paraId="3361B946" w14:textId="77777777" w:rsidR="008F1DFB" w:rsidRPr="007A3503" w:rsidRDefault="008F1DFB" w:rsidP="008F1DFB">
      <w:pPr>
        <w:jc w:val="both"/>
        <w:rPr>
          <w:rFonts w:ascii="Times New Roman" w:hAnsi="Times New Roman"/>
          <w:sz w:val="22"/>
          <w:szCs w:val="22"/>
        </w:rPr>
      </w:pPr>
      <w:r w:rsidRPr="007A3503">
        <w:rPr>
          <w:rFonts w:ascii="Times New Roman" w:hAnsi="Times New Roman"/>
          <w:sz w:val="22"/>
          <w:szCs w:val="22"/>
        </w:rPr>
        <w:t>Развитие профессиональной компетентности претендентов на получение статуса эксперта по проведению независимой оценки квалификации.</w:t>
      </w:r>
    </w:p>
    <w:p w14:paraId="470D9376" w14:textId="77777777" w:rsidR="008F1DFB" w:rsidRPr="007A3503" w:rsidRDefault="008F1DFB" w:rsidP="008F1DFB">
      <w:pPr>
        <w:jc w:val="both"/>
        <w:rPr>
          <w:rFonts w:ascii="Times New Roman" w:hAnsi="Times New Roman"/>
          <w:b/>
          <w:bCs/>
          <w:sz w:val="22"/>
          <w:szCs w:val="22"/>
        </w:rPr>
      </w:pPr>
    </w:p>
    <w:p w14:paraId="6EDEF852" w14:textId="77777777" w:rsidR="008F1DFB" w:rsidRPr="007A3503" w:rsidRDefault="008F1DFB" w:rsidP="008F1DFB">
      <w:pPr>
        <w:jc w:val="both"/>
        <w:rPr>
          <w:rFonts w:ascii="Times New Roman" w:hAnsi="Times New Roman"/>
          <w:b/>
          <w:bCs/>
          <w:sz w:val="22"/>
          <w:szCs w:val="22"/>
        </w:rPr>
      </w:pPr>
      <w:r w:rsidRPr="007A3503">
        <w:rPr>
          <w:rFonts w:ascii="Times New Roman" w:hAnsi="Times New Roman"/>
          <w:b/>
          <w:bCs/>
          <w:sz w:val="22"/>
          <w:szCs w:val="22"/>
        </w:rPr>
        <w:t xml:space="preserve">2. Требования к результатам обучения. </w:t>
      </w:r>
    </w:p>
    <w:p w14:paraId="7AE9558D" w14:textId="77777777" w:rsidR="008F1DFB" w:rsidRPr="007A3503" w:rsidRDefault="008F1DFB" w:rsidP="008F1DFB">
      <w:pPr>
        <w:jc w:val="both"/>
        <w:rPr>
          <w:rFonts w:ascii="Times New Roman" w:hAnsi="Times New Roman"/>
          <w:sz w:val="22"/>
          <w:szCs w:val="22"/>
        </w:rPr>
      </w:pPr>
      <w:r w:rsidRPr="007A3503">
        <w:rPr>
          <w:rFonts w:ascii="Times New Roman" w:hAnsi="Times New Roman"/>
          <w:sz w:val="22"/>
          <w:szCs w:val="22"/>
        </w:rPr>
        <w:t xml:space="preserve">В результате изучения программы претенденты должны: </w:t>
      </w:r>
    </w:p>
    <w:p w14:paraId="6483F47D" w14:textId="77777777" w:rsidR="008F1DFB" w:rsidRPr="007A3503" w:rsidRDefault="008F1DFB" w:rsidP="008F1DFB">
      <w:pPr>
        <w:jc w:val="both"/>
        <w:rPr>
          <w:rFonts w:ascii="Times New Roman" w:hAnsi="Times New Roman"/>
          <w:sz w:val="22"/>
          <w:szCs w:val="22"/>
        </w:rPr>
      </w:pPr>
      <w:r w:rsidRPr="007A3503">
        <w:rPr>
          <w:rFonts w:ascii="Times New Roman" w:hAnsi="Times New Roman"/>
          <w:sz w:val="22"/>
          <w:szCs w:val="22"/>
        </w:rPr>
        <w:t>а) знать:</w:t>
      </w:r>
    </w:p>
    <w:p w14:paraId="35473966"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 xml:space="preserve">основные положения теории и практики вида (видов) профессиональной деятельности; </w:t>
      </w:r>
    </w:p>
    <w:p w14:paraId="0871DDAB"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 xml:space="preserve">требования нормативных правовых </w:t>
      </w:r>
      <w:proofErr w:type="gramStart"/>
      <w:r w:rsidRPr="007A3503">
        <w:rPr>
          <w:sz w:val="22"/>
          <w:szCs w:val="22"/>
        </w:rPr>
        <w:t>актов по независимой оценке</w:t>
      </w:r>
      <w:proofErr w:type="gramEnd"/>
      <w:r w:rsidRPr="007A3503">
        <w:rPr>
          <w:sz w:val="22"/>
          <w:szCs w:val="22"/>
        </w:rPr>
        <w:t xml:space="preserve"> квалификаци</w:t>
      </w:r>
      <w:r>
        <w:rPr>
          <w:sz w:val="22"/>
          <w:szCs w:val="22"/>
        </w:rPr>
        <w:t>и</w:t>
      </w:r>
      <w:r w:rsidRPr="007A3503">
        <w:rPr>
          <w:sz w:val="22"/>
          <w:szCs w:val="22"/>
        </w:rPr>
        <w:t xml:space="preserve"> в заявляемой области деятельности;</w:t>
      </w:r>
    </w:p>
    <w:p w14:paraId="135193E9"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требования руководящих и методических документов Национального совета при Президенте Российской Федерации по профессиональным квалификациям и Совета по профессиональным квалификациям финансового рынка (СПКФР);</w:t>
      </w:r>
    </w:p>
    <w:p w14:paraId="3BA3FA42"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требования соответствующих профессиональных стандартов, наименований квалификаций и оценочных средств;</w:t>
      </w:r>
    </w:p>
    <w:p w14:paraId="1CC47AB0"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требования к проведению профессионального экзамена и оформлению процедур оценки квалификации;</w:t>
      </w:r>
    </w:p>
    <w:p w14:paraId="38A37B11"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 xml:space="preserve">особенности проведения независимой оценки квалификации в рамках сопряжения с ГИА и демонстрационным экзаменом </w:t>
      </w:r>
      <w:proofErr w:type="spellStart"/>
      <w:r w:rsidRPr="007A3503">
        <w:rPr>
          <w:sz w:val="22"/>
          <w:szCs w:val="22"/>
        </w:rPr>
        <w:t>Ворлдскиллс</w:t>
      </w:r>
      <w:proofErr w:type="spellEnd"/>
      <w:r w:rsidRPr="007A3503">
        <w:rPr>
          <w:sz w:val="22"/>
          <w:szCs w:val="22"/>
        </w:rPr>
        <w:t>;</w:t>
      </w:r>
    </w:p>
    <w:p w14:paraId="72B51FCD"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порядок оформления и выдачи документов и передачи сведений по результатам независимой оценки квалификации в СПКФР;</w:t>
      </w:r>
    </w:p>
    <w:p w14:paraId="2991F981"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порядок организации центра оценки квалификаций и отбор организаций для наделения их полномочиями по проведению независимой оценки квалификаций.</w:t>
      </w:r>
    </w:p>
    <w:p w14:paraId="601D916B" w14:textId="77777777" w:rsidR="008F1DFB" w:rsidRPr="007A3503" w:rsidRDefault="008F1DFB" w:rsidP="008F1DFB">
      <w:pPr>
        <w:jc w:val="both"/>
        <w:rPr>
          <w:rFonts w:ascii="Times New Roman" w:hAnsi="Times New Roman"/>
          <w:sz w:val="22"/>
          <w:szCs w:val="22"/>
        </w:rPr>
      </w:pPr>
      <w:r w:rsidRPr="007A3503">
        <w:rPr>
          <w:rFonts w:ascii="Times New Roman" w:hAnsi="Times New Roman"/>
          <w:sz w:val="22"/>
          <w:szCs w:val="22"/>
        </w:rPr>
        <w:t>б) уметь:</w:t>
      </w:r>
    </w:p>
    <w:p w14:paraId="6960A19E"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разрабатывать и актуализировать профессиональные стандарты, наименования квалификаций и оценочные средства;</w:t>
      </w:r>
    </w:p>
    <w:p w14:paraId="3B250BE1"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 xml:space="preserve">применять нормативные правовые </w:t>
      </w:r>
      <w:proofErr w:type="gramStart"/>
      <w:r w:rsidRPr="007A3503">
        <w:rPr>
          <w:sz w:val="22"/>
          <w:szCs w:val="22"/>
        </w:rPr>
        <w:t>акты по независимой оценке</w:t>
      </w:r>
      <w:proofErr w:type="gramEnd"/>
      <w:r w:rsidRPr="007A3503">
        <w:rPr>
          <w:sz w:val="22"/>
          <w:szCs w:val="22"/>
        </w:rPr>
        <w:t xml:space="preserve"> квалификации;</w:t>
      </w:r>
    </w:p>
    <w:p w14:paraId="17459CA5"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организовывать работу экспертной комиссии;</w:t>
      </w:r>
    </w:p>
    <w:p w14:paraId="64971A9D"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объективно рассматривать апелляции по итогам экзамена;</w:t>
      </w:r>
    </w:p>
    <w:p w14:paraId="13E4ED7A"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составлять заключение о прохождении профессионального экзамена;</w:t>
      </w:r>
    </w:p>
    <w:p w14:paraId="50771F23" w14:textId="77777777" w:rsidR="008F1DFB" w:rsidRPr="007A3503" w:rsidRDefault="008F1DFB" w:rsidP="008F1DFB">
      <w:pPr>
        <w:pStyle w:val="a4"/>
        <w:numPr>
          <w:ilvl w:val="0"/>
          <w:numId w:val="2"/>
        </w:numPr>
        <w:spacing w:line="276" w:lineRule="auto"/>
        <w:ind w:right="40"/>
        <w:contextualSpacing/>
        <w:jc w:val="both"/>
        <w:rPr>
          <w:sz w:val="22"/>
          <w:szCs w:val="22"/>
        </w:rPr>
      </w:pPr>
      <w:r w:rsidRPr="007A3503">
        <w:rPr>
          <w:sz w:val="22"/>
          <w:szCs w:val="22"/>
        </w:rPr>
        <w:t>организовывать центры оценки квалификаций и участвовать в отборе организаций для наделения их полномочиями по проведению независимой оценки квалификаций.</w:t>
      </w:r>
    </w:p>
    <w:p w14:paraId="04F255F0" w14:textId="77777777" w:rsidR="008F1DFB" w:rsidRPr="007A3503" w:rsidRDefault="008F1DFB" w:rsidP="008F1DFB">
      <w:pPr>
        <w:jc w:val="both"/>
        <w:rPr>
          <w:rFonts w:ascii="Times New Roman" w:hAnsi="Times New Roman"/>
          <w:b/>
          <w:bCs/>
          <w:sz w:val="22"/>
          <w:szCs w:val="22"/>
        </w:rPr>
      </w:pPr>
    </w:p>
    <w:p w14:paraId="5FD791F5" w14:textId="77777777" w:rsidR="008F1DFB" w:rsidRPr="007A3503" w:rsidRDefault="008F1DFB" w:rsidP="008F1DFB">
      <w:pPr>
        <w:jc w:val="both"/>
        <w:rPr>
          <w:rFonts w:ascii="Times New Roman" w:hAnsi="Times New Roman"/>
          <w:b/>
          <w:bCs/>
          <w:sz w:val="22"/>
          <w:szCs w:val="22"/>
        </w:rPr>
      </w:pPr>
      <w:r w:rsidRPr="007A3503">
        <w:rPr>
          <w:rFonts w:ascii="Times New Roman" w:hAnsi="Times New Roman"/>
          <w:b/>
          <w:bCs/>
          <w:sz w:val="22"/>
          <w:szCs w:val="22"/>
        </w:rPr>
        <w:t>3. Содержание программы</w:t>
      </w:r>
    </w:p>
    <w:p w14:paraId="6C073F90" w14:textId="77777777" w:rsidR="008F1DFB" w:rsidRPr="007A3503" w:rsidRDefault="008F1DFB" w:rsidP="008F1DFB">
      <w:pPr>
        <w:pStyle w:val="20"/>
        <w:shd w:val="clear" w:color="auto" w:fill="auto"/>
        <w:spacing w:after="0" w:line="276" w:lineRule="auto"/>
        <w:jc w:val="both"/>
        <w:rPr>
          <w:rStyle w:val="6"/>
          <w:rFonts w:ascii="Times New Roman" w:hAnsi="Times New Roman"/>
          <w:sz w:val="22"/>
        </w:rPr>
      </w:pPr>
      <w:r w:rsidRPr="007A3503">
        <w:rPr>
          <w:rFonts w:ascii="Times New Roman" w:hAnsi="Times New Roman"/>
          <w:b/>
          <w:sz w:val="22"/>
        </w:rPr>
        <w:t>Категория слушателей:</w:t>
      </w:r>
    </w:p>
    <w:p w14:paraId="6D1E762A" w14:textId="77777777" w:rsidR="008F1DFB" w:rsidRPr="007A3503" w:rsidRDefault="008F1DFB" w:rsidP="008F1DFB">
      <w:pPr>
        <w:pStyle w:val="20"/>
        <w:numPr>
          <w:ilvl w:val="0"/>
          <w:numId w:val="1"/>
        </w:numPr>
        <w:shd w:val="clear" w:color="auto" w:fill="auto"/>
        <w:spacing w:after="0" w:line="276" w:lineRule="auto"/>
        <w:jc w:val="both"/>
        <w:rPr>
          <w:rFonts w:ascii="Times New Roman" w:hAnsi="Times New Roman"/>
          <w:sz w:val="22"/>
        </w:rPr>
      </w:pPr>
      <w:r w:rsidRPr="007A3503">
        <w:rPr>
          <w:rStyle w:val="6"/>
          <w:rFonts w:ascii="Times New Roman" w:hAnsi="Times New Roman"/>
          <w:sz w:val="22"/>
        </w:rPr>
        <w:t>лица, имеющие среднее профессиональное образование, высшее образование;</w:t>
      </w:r>
    </w:p>
    <w:p w14:paraId="44A81707" w14:textId="77777777" w:rsidR="008F1DFB" w:rsidRPr="007A3503" w:rsidRDefault="008F1DFB" w:rsidP="008F1DFB">
      <w:pPr>
        <w:pStyle w:val="a4"/>
        <w:numPr>
          <w:ilvl w:val="0"/>
          <w:numId w:val="1"/>
        </w:numPr>
        <w:spacing w:line="276" w:lineRule="auto"/>
        <w:contextualSpacing/>
        <w:jc w:val="both"/>
        <w:rPr>
          <w:sz w:val="22"/>
          <w:szCs w:val="22"/>
        </w:rPr>
      </w:pPr>
      <w:r w:rsidRPr="007A3503">
        <w:rPr>
          <w:rStyle w:val="6"/>
          <w:sz w:val="22"/>
          <w:szCs w:val="22"/>
        </w:rPr>
        <w:t>лица, имеющие стаж работы по соответствующему виду (видам) профессиональной</w:t>
      </w:r>
      <w:r w:rsidRPr="007A3503">
        <w:rPr>
          <w:rStyle w:val="7"/>
          <w:sz w:val="22"/>
          <w:szCs w:val="22"/>
        </w:rPr>
        <w:t xml:space="preserve"> </w:t>
      </w:r>
      <w:r w:rsidRPr="007A3503">
        <w:rPr>
          <w:rStyle w:val="6"/>
          <w:sz w:val="22"/>
          <w:szCs w:val="22"/>
        </w:rPr>
        <w:t>деятельности.</w:t>
      </w:r>
    </w:p>
    <w:p w14:paraId="7F88456D" w14:textId="77777777" w:rsidR="008F1DFB" w:rsidRPr="007A3503" w:rsidRDefault="008F1DFB" w:rsidP="008F1DFB">
      <w:pPr>
        <w:pStyle w:val="20"/>
        <w:shd w:val="clear" w:color="auto" w:fill="auto"/>
        <w:spacing w:after="0" w:line="276" w:lineRule="auto"/>
        <w:jc w:val="both"/>
        <w:rPr>
          <w:rFonts w:ascii="Times New Roman" w:hAnsi="Times New Roman"/>
          <w:bCs/>
          <w:sz w:val="22"/>
        </w:rPr>
      </w:pPr>
      <w:r w:rsidRPr="007A3503">
        <w:rPr>
          <w:rFonts w:ascii="Times New Roman" w:hAnsi="Times New Roman"/>
          <w:b/>
          <w:sz w:val="22"/>
        </w:rPr>
        <w:t xml:space="preserve">Трудоемкость обучения: </w:t>
      </w:r>
      <w:r w:rsidRPr="007A3503">
        <w:rPr>
          <w:rFonts w:ascii="Times New Roman" w:hAnsi="Times New Roman"/>
          <w:bCs/>
          <w:sz w:val="22"/>
        </w:rPr>
        <w:t>4</w:t>
      </w:r>
      <w:r>
        <w:rPr>
          <w:rFonts w:ascii="Times New Roman" w:hAnsi="Times New Roman"/>
          <w:bCs/>
          <w:sz w:val="22"/>
        </w:rPr>
        <w:t>8</w:t>
      </w:r>
      <w:r w:rsidRPr="007A3503">
        <w:rPr>
          <w:rFonts w:ascii="Times New Roman" w:hAnsi="Times New Roman"/>
          <w:bCs/>
          <w:sz w:val="22"/>
        </w:rPr>
        <w:t xml:space="preserve"> </w:t>
      </w:r>
      <w:proofErr w:type="spellStart"/>
      <w:r w:rsidRPr="007A3503">
        <w:rPr>
          <w:rFonts w:ascii="Times New Roman" w:hAnsi="Times New Roman"/>
          <w:bCs/>
          <w:sz w:val="22"/>
        </w:rPr>
        <w:t>ак</w:t>
      </w:r>
      <w:proofErr w:type="spellEnd"/>
      <w:r w:rsidRPr="007A3503">
        <w:rPr>
          <w:rFonts w:ascii="Times New Roman" w:hAnsi="Times New Roman"/>
          <w:bCs/>
          <w:sz w:val="22"/>
        </w:rPr>
        <w:t>. час</w:t>
      </w:r>
      <w:r>
        <w:rPr>
          <w:rFonts w:ascii="Times New Roman" w:hAnsi="Times New Roman"/>
          <w:bCs/>
          <w:sz w:val="22"/>
        </w:rPr>
        <w:t>ов</w:t>
      </w:r>
      <w:r w:rsidRPr="007A3503">
        <w:rPr>
          <w:rFonts w:ascii="Times New Roman" w:hAnsi="Times New Roman"/>
          <w:bCs/>
          <w:sz w:val="22"/>
        </w:rPr>
        <w:t>.</w:t>
      </w:r>
    </w:p>
    <w:p w14:paraId="29DC574B" w14:textId="77777777" w:rsidR="008F1DFB" w:rsidRPr="007A3503" w:rsidRDefault="008F1DFB" w:rsidP="008F1DFB">
      <w:pPr>
        <w:pStyle w:val="20"/>
        <w:shd w:val="clear" w:color="auto" w:fill="auto"/>
        <w:spacing w:after="0" w:line="276" w:lineRule="auto"/>
        <w:jc w:val="both"/>
        <w:rPr>
          <w:rFonts w:ascii="Times New Roman" w:hAnsi="Times New Roman"/>
          <w:bCs/>
          <w:sz w:val="22"/>
        </w:rPr>
      </w:pPr>
      <w:r w:rsidRPr="007A3503">
        <w:rPr>
          <w:rFonts w:ascii="Times New Roman" w:hAnsi="Times New Roman"/>
          <w:b/>
          <w:sz w:val="22"/>
        </w:rPr>
        <w:t xml:space="preserve">Форма обучения: </w:t>
      </w:r>
      <w:r w:rsidRPr="007A3503">
        <w:rPr>
          <w:rFonts w:ascii="Times New Roman" w:hAnsi="Times New Roman"/>
          <w:bCs/>
          <w:sz w:val="22"/>
        </w:rPr>
        <w:t>очная, с применением ДОТ.</w:t>
      </w:r>
    </w:p>
    <w:p w14:paraId="050D92EB" w14:textId="77777777" w:rsidR="008F1DFB" w:rsidRPr="007A3503" w:rsidRDefault="008F1DFB" w:rsidP="008F1DFB">
      <w:pPr>
        <w:jc w:val="center"/>
        <w:rPr>
          <w:rFonts w:ascii="Times New Roman" w:hAnsi="Times New Roman"/>
          <w:b/>
          <w:bCs/>
          <w:sz w:val="22"/>
          <w:szCs w:val="22"/>
        </w:rPr>
      </w:pPr>
      <w:r w:rsidRPr="007A3503">
        <w:rPr>
          <w:rFonts w:ascii="Times New Roman" w:hAnsi="Times New Roman"/>
          <w:b/>
          <w:bCs/>
          <w:sz w:val="22"/>
          <w:szCs w:val="22"/>
        </w:rPr>
        <w:t>3.1. Учебный план</w:t>
      </w:r>
    </w:p>
    <w:p w14:paraId="74C9FD76" w14:textId="77777777" w:rsidR="008F1DFB" w:rsidRPr="007A3503" w:rsidRDefault="008F1DFB" w:rsidP="008F1DFB">
      <w:pPr>
        <w:jc w:val="center"/>
        <w:rPr>
          <w:rFonts w:ascii="Times New Roman" w:hAnsi="Times New Roman"/>
          <w:b/>
          <w:bCs/>
          <w:sz w:val="22"/>
          <w:szCs w:val="22"/>
        </w:rPr>
      </w:pPr>
    </w:p>
    <w:tbl>
      <w:tblPr>
        <w:tblW w:w="10592" w:type="dxa"/>
        <w:tblInd w:w="-743" w:type="dxa"/>
        <w:tblLook w:val="00A0" w:firstRow="1" w:lastRow="0" w:firstColumn="1" w:lastColumn="0" w:noHBand="0" w:noVBand="0"/>
      </w:tblPr>
      <w:tblGrid>
        <w:gridCol w:w="709"/>
        <w:gridCol w:w="3746"/>
        <w:gridCol w:w="850"/>
        <w:gridCol w:w="992"/>
        <w:gridCol w:w="748"/>
        <w:gridCol w:w="1206"/>
        <w:gridCol w:w="676"/>
        <w:gridCol w:w="1665"/>
      </w:tblGrid>
      <w:tr w:rsidR="008F1DFB" w:rsidRPr="007A3503" w14:paraId="1C2C6A93" w14:textId="77777777" w:rsidTr="00946C9D">
        <w:trPr>
          <w:trHeight w:val="4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40D8BA3"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br w:type="page"/>
              <w:t>№№ п/п</w:t>
            </w:r>
          </w:p>
        </w:tc>
        <w:tc>
          <w:tcPr>
            <w:tcW w:w="3746" w:type="dxa"/>
            <w:vMerge w:val="restart"/>
            <w:tcBorders>
              <w:top w:val="single" w:sz="4" w:space="0" w:color="auto"/>
              <w:left w:val="single" w:sz="4" w:space="0" w:color="auto"/>
              <w:bottom w:val="single" w:sz="4" w:space="0" w:color="auto"/>
              <w:right w:val="single" w:sz="4" w:space="0" w:color="auto"/>
            </w:tcBorders>
            <w:vAlign w:val="center"/>
          </w:tcPr>
          <w:p w14:paraId="16B291C2"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Наименование разделов, тем</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8E7307"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 xml:space="preserve">Всего часов </w:t>
            </w:r>
          </w:p>
        </w:tc>
        <w:tc>
          <w:tcPr>
            <w:tcW w:w="3622" w:type="dxa"/>
            <w:gridSpan w:val="4"/>
            <w:tcBorders>
              <w:top w:val="single" w:sz="4" w:space="0" w:color="auto"/>
              <w:left w:val="nil"/>
              <w:bottom w:val="single" w:sz="4" w:space="0" w:color="auto"/>
              <w:right w:val="single" w:sz="4" w:space="0" w:color="auto"/>
            </w:tcBorders>
            <w:vAlign w:val="center"/>
          </w:tcPr>
          <w:p w14:paraId="02DFAC30"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В том числе</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14:paraId="59DD5C57"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Форма контроля</w:t>
            </w:r>
          </w:p>
        </w:tc>
      </w:tr>
      <w:tr w:rsidR="008F1DFB" w:rsidRPr="007A3503" w14:paraId="1C658414" w14:textId="77777777" w:rsidTr="00946C9D">
        <w:trPr>
          <w:trHeight w:val="402"/>
        </w:trPr>
        <w:tc>
          <w:tcPr>
            <w:tcW w:w="709" w:type="dxa"/>
            <w:vMerge/>
            <w:tcBorders>
              <w:top w:val="single" w:sz="4" w:space="0" w:color="auto"/>
              <w:left w:val="single" w:sz="4" w:space="0" w:color="auto"/>
              <w:bottom w:val="single" w:sz="4" w:space="0" w:color="auto"/>
              <w:right w:val="single" w:sz="4" w:space="0" w:color="auto"/>
            </w:tcBorders>
            <w:vAlign w:val="center"/>
          </w:tcPr>
          <w:p w14:paraId="6F014245" w14:textId="77777777" w:rsidR="008F1DFB" w:rsidRPr="007A3503" w:rsidRDefault="008F1DFB" w:rsidP="008F1DFB">
            <w:pPr>
              <w:rPr>
                <w:rFonts w:ascii="Times New Roman" w:hAnsi="Times New Roman"/>
                <w:sz w:val="22"/>
                <w:szCs w:val="22"/>
              </w:rPr>
            </w:pPr>
          </w:p>
        </w:tc>
        <w:tc>
          <w:tcPr>
            <w:tcW w:w="3746" w:type="dxa"/>
            <w:vMerge/>
            <w:tcBorders>
              <w:top w:val="single" w:sz="4" w:space="0" w:color="auto"/>
              <w:left w:val="single" w:sz="4" w:space="0" w:color="auto"/>
              <w:bottom w:val="single" w:sz="4" w:space="0" w:color="auto"/>
              <w:right w:val="single" w:sz="4" w:space="0" w:color="auto"/>
            </w:tcBorders>
            <w:vAlign w:val="center"/>
          </w:tcPr>
          <w:p w14:paraId="1E584C1A" w14:textId="77777777" w:rsidR="008F1DFB" w:rsidRPr="007A3503" w:rsidRDefault="008F1DFB" w:rsidP="008F1DFB">
            <w:pPr>
              <w:rPr>
                <w:rFonts w:ascii="Times New Roman" w:hAnsi="Times New Roman"/>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3C6C3ED0" w14:textId="77777777" w:rsidR="008F1DFB" w:rsidRPr="007A3503" w:rsidRDefault="008F1DFB" w:rsidP="008F1DFB">
            <w:pPr>
              <w:rPr>
                <w:rFonts w:ascii="Times New Roman" w:hAnsi="Times New Roman"/>
                <w:sz w:val="22"/>
                <w:szCs w:val="22"/>
              </w:rPr>
            </w:pPr>
          </w:p>
        </w:tc>
        <w:tc>
          <w:tcPr>
            <w:tcW w:w="2946" w:type="dxa"/>
            <w:gridSpan w:val="3"/>
            <w:tcBorders>
              <w:top w:val="single" w:sz="4" w:space="0" w:color="auto"/>
              <w:left w:val="nil"/>
              <w:bottom w:val="single" w:sz="4" w:space="0" w:color="auto"/>
              <w:right w:val="single" w:sz="4" w:space="0" w:color="auto"/>
            </w:tcBorders>
            <w:vAlign w:val="center"/>
          </w:tcPr>
          <w:p w14:paraId="1FB28256"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Аудиторные занятия</w:t>
            </w:r>
          </w:p>
        </w:tc>
        <w:tc>
          <w:tcPr>
            <w:tcW w:w="67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E3EEFBE"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самостоятельная работа</w:t>
            </w:r>
          </w:p>
        </w:tc>
        <w:tc>
          <w:tcPr>
            <w:tcW w:w="1665" w:type="dxa"/>
            <w:vMerge/>
            <w:tcBorders>
              <w:top w:val="single" w:sz="4" w:space="0" w:color="auto"/>
              <w:left w:val="single" w:sz="4" w:space="0" w:color="auto"/>
              <w:bottom w:val="single" w:sz="4" w:space="0" w:color="auto"/>
              <w:right w:val="single" w:sz="4" w:space="0" w:color="auto"/>
            </w:tcBorders>
            <w:vAlign w:val="center"/>
          </w:tcPr>
          <w:p w14:paraId="6F7FFEF9" w14:textId="77777777" w:rsidR="008F1DFB" w:rsidRPr="007A3503" w:rsidRDefault="008F1DFB" w:rsidP="008F1DFB">
            <w:pPr>
              <w:rPr>
                <w:rFonts w:ascii="Times New Roman" w:hAnsi="Times New Roman"/>
                <w:sz w:val="22"/>
                <w:szCs w:val="22"/>
              </w:rPr>
            </w:pPr>
          </w:p>
        </w:tc>
      </w:tr>
      <w:tr w:rsidR="008F1DFB" w:rsidRPr="007A3503" w14:paraId="0F2FDFD6" w14:textId="77777777" w:rsidTr="008F1DFB">
        <w:trPr>
          <w:trHeight w:val="402"/>
        </w:trPr>
        <w:tc>
          <w:tcPr>
            <w:tcW w:w="709" w:type="dxa"/>
            <w:vMerge/>
            <w:tcBorders>
              <w:top w:val="nil"/>
              <w:left w:val="single" w:sz="4" w:space="0" w:color="auto"/>
              <w:bottom w:val="single" w:sz="4" w:space="0" w:color="auto"/>
              <w:right w:val="single" w:sz="4" w:space="0" w:color="auto"/>
            </w:tcBorders>
            <w:vAlign w:val="center"/>
          </w:tcPr>
          <w:p w14:paraId="7D88C336" w14:textId="77777777" w:rsidR="008F1DFB" w:rsidRPr="007A3503" w:rsidRDefault="008F1DFB" w:rsidP="008F1DFB">
            <w:pPr>
              <w:rPr>
                <w:rFonts w:ascii="Times New Roman" w:hAnsi="Times New Roman"/>
                <w:sz w:val="22"/>
                <w:szCs w:val="22"/>
              </w:rPr>
            </w:pPr>
          </w:p>
        </w:tc>
        <w:tc>
          <w:tcPr>
            <w:tcW w:w="3746" w:type="dxa"/>
            <w:vMerge/>
            <w:tcBorders>
              <w:top w:val="single" w:sz="4" w:space="0" w:color="auto"/>
              <w:left w:val="single" w:sz="4" w:space="0" w:color="auto"/>
              <w:bottom w:val="single" w:sz="4" w:space="0" w:color="auto"/>
              <w:right w:val="single" w:sz="4" w:space="0" w:color="auto"/>
            </w:tcBorders>
            <w:vAlign w:val="center"/>
          </w:tcPr>
          <w:p w14:paraId="02B5E78E" w14:textId="77777777" w:rsidR="008F1DFB" w:rsidRPr="007A3503" w:rsidRDefault="008F1DFB" w:rsidP="008F1DFB">
            <w:pPr>
              <w:rPr>
                <w:rFonts w:ascii="Times New Roman" w:hAnsi="Times New Roman"/>
                <w:sz w:val="22"/>
                <w:szCs w:val="22"/>
              </w:rPr>
            </w:pPr>
          </w:p>
        </w:tc>
        <w:tc>
          <w:tcPr>
            <w:tcW w:w="850" w:type="dxa"/>
            <w:vMerge/>
            <w:tcBorders>
              <w:top w:val="nil"/>
              <w:left w:val="single" w:sz="4" w:space="0" w:color="auto"/>
              <w:bottom w:val="single" w:sz="4" w:space="0" w:color="auto"/>
              <w:right w:val="single" w:sz="4" w:space="0" w:color="auto"/>
            </w:tcBorders>
            <w:vAlign w:val="center"/>
          </w:tcPr>
          <w:p w14:paraId="1780ECA8" w14:textId="77777777" w:rsidR="008F1DFB" w:rsidRPr="007A3503" w:rsidRDefault="008F1DFB" w:rsidP="008F1DFB">
            <w:pPr>
              <w:rPr>
                <w:rFonts w:ascii="Times New Roman" w:hAnsi="Times New Roman"/>
                <w:sz w:val="22"/>
                <w:szCs w:val="22"/>
              </w:rPr>
            </w:pPr>
          </w:p>
        </w:tc>
        <w:tc>
          <w:tcPr>
            <w:tcW w:w="992" w:type="dxa"/>
            <w:vMerge w:val="restart"/>
            <w:tcBorders>
              <w:top w:val="nil"/>
              <w:left w:val="single" w:sz="4" w:space="0" w:color="auto"/>
              <w:bottom w:val="single" w:sz="4" w:space="0" w:color="auto"/>
              <w:right w:val="single" w:sz="4" w:space="0" w:color="auto"/>
            </w:tcBorders>
            <w:textDirection w:val="btLr"/>
            <w:vAlign w:val="center"/>
          </w:tcPr>
          <w:p w14:paraId="4803BA1B"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 xml:space="preserve">Всего, часов </w:t>
            </w:r>
          </w:p>
        </w:tc>
        <w:tc>
          <w:tcPr>
            <w:tcW w:w="1954" w:type="dxa"/>
            <w:gridSpan w:val="2"/>
            <w:tcBorders>
              <w:top w:val="single" w:sz="4" w:space="0" w:color="auto"/>
              <w:left w:val="nil"/>
              <w:bottom w:val="single" w:sz="4" w:space="0" w:color="auto"/>
              <w:right w:val="single" w:sz="4" w:space="0" w:color="auto"/>
            </w:tcBorders>
            <w:vAlign w:val="center"/>
          </w:tcPr>
          <w:p w14:paraId="52077CD1"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из них</w:t>
            </w:r>
          </w:p>
        </w:tc>
        <w:tc>
          <w:tcPr>
            <w:tcW w:w="676" w:type="dxa"/>
            <w:vMerge/>
            <w:tcBorders>
              <w:top w:val="nil"/>
              <w:left w:val="single" w:sz="4" w:space="0" w:color="auto"/>
              <w:bottom w:val="single" w:sz="4" w:space="0" w:color="auto"/>
              <w:right w:val="single" w:sz="4" w:space="0" w:color="auto"/>
            </w:tcBorders>
            <w:vAlign w:val="center"/>
          </w:tcPr>
          <w:p w14:paraId="044C440F" w14:textId="77777777" w:rsidR="008F1DFB" w:rsidRPr="007A3503" w:rsidRDefault="008F1DFB" w:rsidP="008F1DFB">
            <w:pPr>
              <w:rPr>
                <w:rFonts w:ascii="Times New Roman" w:hAnsi="Times New Roman"/>
                <w:sz w:val="22"/>
                <w:szCs w:val="22"/>
              </w:rPr>
            </w:pPr>
          </w:p>
        </w:tc>
        <w:tc>
          <w:tcPr>
            <w:tcW w:w="1665" w:type="dxa"/>
            <w:vMerge/>
            <w:tcBorders>
              <w:top w:val="nil"/>
              <w:left w:val="single" w:sz="4" w:space="0" w:color="auto"/>
              <w:bottom w:val="single" w:sz="4" w:space="0" w:color="auto"/>
              <w:right w:val="single" w:sz="4" w:space="0" w:color="auto"/>
            </w:tcBorders>
            <w:vAlign w:val="center"/>
          </w:tcPr>
          <w:p w14:paraId="7CDB96AA" w14:textId="77777777" w:rsidR="008F1DFB" w:rsidRPr="007A3503" w:rsidRDefault="008F1DFB" w:rsidP="008F1DFB">
            <w:pPr>
              <w:rPr>
                <w:rFonts w:ascii="Times New Roman" w:hAnsi="Times New Roman"/>
                <w:sz w:val="22"/>
                <w:szCs w:val="22"/>
              </w:rPr>
            </w:pPr>
          </w:p>
        </w:tc>
      </w:tr>
      <w:tr w:rsidR="008F1DFB" w:rsidRPr="007A3503" w14:paraId="77BF0C60" w14:textId="77777777" w:rsidTr="008F1DFB">
        <w:trPr>
          <w:cantSplit/>
          <w:trHeight w:val="1993"/>
        </w:trPr>
        <w:tc>
          <w:tcPr>
            <w:tcW w:w="709" w:type="dxa"/>
            <w:vMerge/>
            <w:tcBorders>
              <w:top w:val="single" w:sz="4" w:space="0" w:color="auto"/>
              <w:left w:val="single" w:sz="4" w:space="0" w:color="auto"/>
              <w:bottom w:val="single" w:sz="4" w:space="0" w:color="auto"/>
              <w:right w:val="single" w:sz="4" w:space="0" w:color="auto"/>
            </w:tcBorders>
            <w:vAlign w:val="center"/>
          </w:tcPr>
          <w:p w14:paraId="3AAAD3C2" w14:textId="77777777" w:rsidR="008F1DFB" w:rsidRPr="007A3503" w:rsidRDefault="008F1DFB" w:rsidP="008F1DFB">
            <w:pPr>
              <w:rPr>
                <w:rFonts w:ascii="Times New Roman" w:hAnsi="Times New Roman"/>
                <w:sz w:val="22"/>
                <w:szCs w:val="22"/>
              </w:rPr>
            </w:pPr>
          </w:p>
        </w:tc>
        <w:tc>
          <w:tcPr>
            <w:tcW w:w="3746" w:type="dxa"/>
            <w:vMerge/>
            <w:tcBorders>
              <w:top w:val="single" w:sz="4" w:space="0" w:color="auto"/>
              <w:left w:val="single" w:sz="4" w:space="0" w:color="auto"/>
              <w:bottom w:val="single" w:sz="4" w:space="0" w:color="auto"/>
              <w:right w:val="single" w:sz="4" w:space="0" w:color="auto"/>
            </w:tcBorders>
            <w:vAlign w:val="center"/>
          </w:tcPr>
          <w:p w14:paraId="468A8A19" w14:textId="77777777" w:rsidR="008F1DFB" w:rsidRPr="007A3503" w:rsidRDefault="008F1DFB" w:rsidP="008F1DFB">
            <w:pPr>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BE0CC01" w14:textId="77777777" w:rsidR="008F1DFB" w:rsidRPr="007A3503" w:rsidRDefault="008F1DFB" w:rsidP="008F1DFB">
            <w:pPr>
              <w:rPr>
                <w:rFonts w:ascii="Times New Roman" w:hAnsi="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9FF23EC" w14:textId="77777777" w:rsidR="008F1DFB" w:rsidRPr="007A3503" w:rsidRDefault="008F1DFB" w:rsidP="008F1DFB">
            <w:pPr>
              <w:rPr>
                <w:rFonts w:ascii="Times New Roman" w:hAnsi="Times New Roman"/>
                <w:sz w:val="22"/>
                <w:szCs w:val="22"/>
              </w:rPr>
            </w:pPr>
          </w:p>
        </w:tc>
        <w:tc>
          <w:tcPr>
            <w:tcW w:w="748" w:type="dxa"/>
            <w:tcBorders>
              <w:top w:val="single" w:sz="4" w:space="0" w:color="auto"/>
              <w:left w:val="nil"/>
              <w:bottom w:val="single" w:sz="4" w:space="0" w:color="auto"/>
              <w:right w:val="single" w:sz="4" w:space="0" w:color="auto"/>
            </w:tcBorders>
            <w:textDirection w:val="btLr"/>
            <w:vAlign w:val="center"/>
          </w:tcPr>
          <w:p w14:paraId="1C11DB3F" w14:textId="77777777" w:rsidR="008F1DFB" w:rsidRPr="007A3503" w:rsidRDefault="008F1DFB" w:rsidP="008F1DFB">
            <w:pPr>
              <w:ind w:left="113" w:right="113"/>
              <w:jc w:val="center"/>
              <w:rPr>
                <w:rFonts w:ascii="Times New Roman" w:hAnsi="Times New Roman"/>
                <w:sz w:val="22"/>
                <w:szCs w:val="22"/>
              </w:rPr>
            </w:pPr>
            <w:r w:rsidRPr="007A3503">
              <w:rPr>
                <w:rFonts w:ascii="Times New Roman" w:hAnsi="Times New Roman"/>
                <w:sz w:val="22"/>
                <w:szCs w:val="22"/>
              </w:rPr>
              <w:t>Лекции</w:t>
            </w:r>
          </w:p>
        </w:tc>
        <w:tc>
          <w:tcPr>
            <w:tcW w:w="1206" w:type="dxa"/>
            <w:tcBorders>
              <w:top w:val="single" w:sz="4" w:space="0" w:color="auto"/>
              <w:left w:val="nil"/>
              <w:bottom w:val="single" w:sz="4" w:space="0" w:color="auto"/>
              <w:right w:val="single" w:sz="4" w:space="0" w:color="auto"/>
            </w:tcBorders>
            <w:textDirection w:val="btLr"/>
            <w:vAlign w:val="center"/>
          </w:tcPr>
          <w:p w14:paraId="7414B070" w14:textId="77777777" w:rsidR="008F1DFB" w:rsidRPr="007A3503" w:rsidRDefault="008F1DFB" w:rsidP="008F1DFB">
            <w:pPr>
              <w:ind w:left="113" w:right="113"/>
              <w:jc w:val="center"/>
              <w:rPr>
                <w:rFonts w:ascii="Times New Roman" w:hAnsi="Times New Roman"/>
                <w:sz w:val="22"/>
                <w:szCs w:val="22"/>
              </w:rPr>
            </w:pPr>
            <w:r w:rsidRPr="007A3503">
              <w:rPr>
                <w:rFonts w:ascii="Times New Roman" w:hAnsi="Times New Roman"/>
                <w:sz w:val="22"/>
                <w:szCs w:val="22"/>
              </w:rPr>
              <w:t>Практические занятия</w:t>
            </w:r>
          </w:p>
        </w:tc>
        <w:tc>
          <w:tcPr>
            <w:tcW w:w="676" w:type="dxa"/>
            <w:vMerge/>
            <w:tcBorders>
              <w:top w:val="single" w:sz="4" w:space="0" w:color="auto"/>
              <w:left w:val="single" w:sz="4" w:space="0" w:color="auto"/>
              <w:bottom w:val="single" w:sz="4" w:space="0" w:color="auto"/>
              <w:right w:val="single" w:sz="4" w:space="0" w:color="auto"/>
            </w:tcBorders>
            <w:vAlign w:val="center"/>
          </w:tcPr>
          <w:p w14:paraId="58C1AD80" w14:textId="77777777" w:rsidR="008F1DFB" w:rsidRPr="007A3503" w:rsidRDefault="008F1DFB" w:rsidP="008F1DFB">
            <w:pPr>
              <w:rPr>
                <w:rFonts w:ascii="Times New Roman" w:hAnsi="Times New Roman"/>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1929E83C" w14:textId="77777777" w:rsidR="008F1DFB" w:rsidRPr="007A3503" w:rsidRDefault="008F1DFB" w:rsidP="008F1DFB">
            <w:pPr>
              <w:rPr>
                <w:rFonts w:ascii="Times New Roman" w:hAnsi="Times New Roman"/>
                <w:sz w:val="22"/>
                <w:szCs w:val="22"/>
              </w:rPr>
            </w:pPr>
          </w:p>
        </w:tc>
      </w:tr>
      <w:tr w:rsidR="008F1DFB" w:rsidRPr="007A3503" w14:paraId="48F99608" w14:textId="77777777" w:rsidTr="008F1DFB">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14:paraId="774AC31F"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1</w:t>
            </w:r>
          </w:p>
        </w:tc>
        <w:tc>
          <w:tcPr>
            <w:tcW w:w="3746" w:type="dxa"/>
            <w:tcBorders>
              <w:top w:val="single" w:sz="4" w:space="0" w:color="auto"/>
              <w:left w:val="nil"/>
              <w:bottom w:val="single" w:sz="4" w:space="0" w:color="auto"/>
              <w:right w:val="single" w:sz="4" w:space="0" w:color="auto"/>
            </w:tcBorders>
            <w:vAlign w:val="center"/>
          </w:tcPr>
          <w:p w14:paraId="0A2C6D08" w14:textId="77777777" w:rsidR="008F1DFB" w:rsidRPr="007A3503" w:rsidRDefault="008F1DFB" w:rsidP="008F1DFB">
            <w:pPr>
              <w:jc w:val="both"/>
              <w:rPr>
                <w:rFonts w:ascii="Times New Roman" w:hAnsi="Times New Roman"/>
                <w:sz w:val="22"/>
                <w:szCs w:val="22"/>
              </w:rPr>
            </w:pPr>
            <w:r w:rsidRPr="007A3503">
              <w:rPr>
                <w:rFonts w:ascii="Times New Roman" w:hAnsi="Times New Roman"/>
                <w:sz w:val="22"/>
                <w:szCs w:val="22"/>
              </w:rPr>
              <w:t>Введение</w:t>
            </w:r>
          </w:p>
        </w:tc>
        <w:tc>
          <w:tcPr>
            <w:tcW w:w="850" w:type="dxa"/>
            <w:tcBorders>
              <w:top w:val="single" w:sz="4" w:space="0" w:color="auto"/>
              <w:left w:val="nil"/>
              <w:bottom w:val="single" w:sz="4" w:space="0" w:color="auto"/>
              <w:right w:val="single" w:sz="4" w:space="0" w:color="auto"/>
            </w:tcBorders>
            <w:noWrap/>
            <w:vAlign w:val="center"/>
          </w:tcPr>
          <w:p w14:paraId="655F8D9E"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992" w:type="dxa"/>
            <w:tcBorders>
              <w:top w:val="single" w:sz="4" w:space="0" w:color="auto"/>
              <w:left w:val="nil"/>
              <w:bottom w:val="single" w:sz="4" w:space="0" w:color="auto"/>
              <w:right w:val="single" w:sz="4" w:space="0" w:color="auto"/>
            </w:tcBorders>
            <w:noWrap/>
            <w:vAlign w:val="center"/>
          </w:tcPr>
          <w:p w14:paraId="1DC8CBB4"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3B3B820C"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206" w:type="dxa"/>
            <w:tcBorders>
              <w:top w:val="single" w:sz="4" w:space="0" w:color="auto"/>
              <w:left w:val="nil"/>
              <w:bottom w:val="single" w:sz="4" w:space="0" w:color="auto"/>
              <w:right w:val="single" w:sz="4" w:space="0" w:color="auto"/>
            </w:tcBorders>
            <w:noWrap/>
            <w:vAlign w:val="center"/>
          </w:tcPr>
          <w:p w14:paraId="74F8CF09"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082B93D2" w14:textId="77777777" w:rsidR="008F1DFB" w:rsidRPr="007A3503" w:rsidRDefault="008F1DFB" w:rsidP="008F1DFB">
            <w:pPr>
              <w:jc w:val="center"/>
              <w:rPr>
                <w:rFonts w:ascii="Times New Roman" w:hAnsi="Times New Roman"/>
                <w:sz w:val="22"/>
                <w:szCs w:val="22"/>
              </w:rPr>
            </w:pPr>
          </w:p>
        </w:tc>
        <w:tc>
          <w:tcPr>
            <w:tcW w:w="1665" w:type="dxa"/>
            <w:tcBorders>
              <w:top w:val="single" w:sz="4" w:space="0" w:color="auto"/>
              <w:left w:val="nil"/>
              <w:bottom w:val="single" w:sz="4" w:space="0" w:color="auto"/>
              <w:right w:val="single" w:sz="4" w:space="0" w:color="auto"/>
            </w:tcBorders>
            <w:noWrap/>
            <w:vAlign w:val="center"/>
          </w:tcPr>
          <w:p w14:paraId="0AD28309" w14:textId="77777777" w:rsidR="008F1DFB" w:rsidRPr="007A3503" w:rsidRDefault="008F1DFB" w:rsidP="008F1DFB">
            <w:pPr>
              <w:jc w:val="center"/>
              <w:rPr>
                <w:rFonts w:ascii="Times New Roman" w:hAnsi="Times New Roman"/>
                <w:sz w:val="22"/>
                <w:szCs w:val="22"/>
              </w:rPr>
            </w:pPr>
          </w:p>
        </w:tc>
      </w:tr>
      <w:tr w:rsidR="008F1DFB" w:rsidRPr="007A3503" w14:paraId="3974CC4B" w14:textId="77777777" w:rsidTr="00946C9D">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14:paraId="29FD9FBA"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3746" w:type="dxa"/>
            <w:tcBorders>
              <w:top w:val="single" w:sz="4" w:space="0" w:color="auto"/>
              <w:left w:val="nil"/>
              <w:bottom w:val="single" w:sz="4" w:space="0" w:color="auto"/>
              <w:right w:val="single" w:sz="4" w:space="0" w:color="auto"/>
            </w:tcBorders>
            <w:vAlign w:val="center"/>
          </w:tcPr>
          <w:p w14:paraId="01E56EDA"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Тема 1. Нормативная правовая база системы независимой оценки квалификации, разработки профессиональных стандартов, наименований квалификаций и оценочных средств</w:t>
            </w:r>
          </w:p>
        </w:tc>
        <w:tc>
          <w:tcPr>
            <w:tcW w:w="850" w:type="dxa"/>
            <w:tcBorders>
              <w:top w:val="single" w:sz="4" w:space="0" w:color="auto"/>
              <w:left w:val="nil"/>
              <w:bottom w:val="single" w:sz="4" w:space="0" w:color="auto"/>
              <w:right w:val="single" w:sz="4" w:space="0" w:color="auto"/>
            </w:tcBorders>
            <w:noWrap/>
            <w:vAlign w:val="center"/>
          </w:tcPr>
          <w:p w14:paraId="59DA5139"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992" w:type="dxa"/>
            <w:tcBorders>
              <w:top w:val="single" w:sz="4" w:space="0" w:color="auto"/>
              <w:left w:val="nil"/>
              <w:bottom w:val="single" w:sz="4" w:space="0" w:color="auto"/>
              <w:right w:val="single" w:sz="4" w:space="0" w:color="auto"/>
            </w:tcBorders>
            <w:noWrap/>
            <w:vAlign w:val="center"/>
          </w:tcPr>
          <w:p w14:paraId="276AE21C"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4A7113F4"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206" w:type="dxa"/>
            <w:tcBorders>
              <w:top w:val="single" w:sz="4" w:space="0" w:color="auto"/>
              <w:left w:val="nil"/>
              <w:bottom w:val="single" w:sz="4" w:space="0" w:color="auto"/>
              <w:right w:val="single" w:sz="4" w:space="0" w:color="auto"/>
            </w:tcBorders>
            <w:noWrap/>
            <w:vAlign w:val="center"/>
          </w:tcPr>
          <w:p w14:paraId="6F1751ED"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6CAEEC94"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665" w:type="dxa"/>
            <w:tcBorders>
              <w:top w:val="single" w:sz="4" w:space="0" w:color="auto"/>
              <w:left w:val="nil"/>
              <w:bottom w:val="single" w:sz="4" w:space="0" w:color="auto"/>
              <w:right w:val="single" w:sz="4" w:space="0" w:color="auto"/>
            </w:tcBorders>
            <w:noWrap/>
            <w:vAlign w:val="center"/>
          </w:tcPr>
          <w:p w14:paraId="0DB6D0CC" w14:textId="77777777" w:rsidR="008F1DFB" w:rsidRPr="007A3503" w:rsidRDefault="008F1DFB" w:rsidP="008F1DFB">
            <w:pPr>
              <w:jc w:val="center"/>
              <w:rPr>
                <w:rFonts w:ascii="Times New Roman" w:hAnsi="Times New Roman"/>
                <w:sz w:val="22"/>
                <w:szCs w:val="22"/>
              </w:rPr>
            </w:pPr>
          </w:p>
        </w:tc>
      </w:tr>
      <w:tr w:rsidR="008F1DFB" w:rsidRPr="007A3503" w14:paraId="0076A3F9" w14:textId="77777777" w:rsidTr="00946C9D">
        <w:tc>
          <w:tcPr>
            <w:tcW w:w="709" w:type="dxa"/>
            <w:tcBorders>
              <w:top w:val="single" w:sz="4" w:space="0" w:color="auto"/>
              <w:left w:val="single" w:sz="4" w:space="0" w:color="auto"/>
              <w:bottom w:val="single" w:sz="4" w:space="0" w:color="auto"/>
              <w:right w:val="single" w:sz="4" w:space="0" w:color="auto"/>
            </w:tcBorders>
            <w:noWrap/>
            <w:vAlign w:val="center"/>
          </w:tcPr>
          <w:p w14:paraId="50CE3D33"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3</w:t>
            </w:r>
          </w:p>
        </w:tc>
        <w:tc>
          <w:tcPr>
            <w:tcW w:w="3746" w:type="dxa"/>
            <w:tcBorders>
              <w:top w:val="single" w:sz="4" w:space="0" w:color="auto"/>
              <w:left w:val="nil"/>
              <w:bottom w:val="single" w:sz="4" w:space="0" w:color="auto"/>
              <w:right w:val="single" w:sz="4" w:space="0" w:color="auto"/>
            </w:tcBorders>
            <w:vAlign w:val="center"/>
          </w:tcPr>
          <w:p w14:paraId="130EB335"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Тема 2. Порядок организации центра оценки квалификации и отбора организаций для наделения их полномочиями по проведению независимой оценки квалификаций</w:t>
            </w:r>
          </w:p>
        </w:tc>
        <w:tc>
          <w:tcPr>
            <w:tcW w:w="850" w:type="dxa"/>
            <w:tcBorders>
              <w:top w:val="single" w:sz="4" w:space="0" w:color="auto"/>
              <w:left w:val="nil"/>
              <w:bottom w:val="single" w:sz="4" w:space="0" w:color="auto"/>
              <w:right w:val="single" w:sz="4" w:space="0" w:color="auto"/>
            </w:tcBorders>
            <w:noWrap/>
            <w:vAlign w:val="center"/>
          </w:tcPr>
          <w:p w14:paraId="35FDBE63"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992" w:type="dxa"/>
            <w:tcBorders>
              <w:top w:val="single" w:sz="4" w:space="0" w:color="auto"/>
              <w:left w:val="nil"/>
              <w:bottom w:val="single" w:sz="4" w:space="0" w:color="auto"/>
              <w:right w:val="single" w:sz="4" w:space="0" w:color="auto"/>
            </w:tcBorders>
            <w:noWrap/>
            <w:vAlign w:val="center"/>
          </w:tcPr>
          <w:p w14:paraId="627DB667"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0BCB707A"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206" w:type="dxa"/>
            <w:tcBorders>
              <w:top w:val="single" w:sz="4" w:space="0" w:color="auto"/>
              <w:left w:val="nil"/>
              <w:bottom w:val="single" w:sz="4" w:space="0" w:color="auto"/>
              <w:right w:val="single" w:sz="4" w:space="0" w:color="auto"/>
            </w:tcBorders>
            <w:noWrap/>
            <w:vAlign w:val="center"/>
          </w:tcPr>
          <w:p w14:paraId="16A6B0BF"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13D73A40"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665" w:type="dxa"/>
            <w:tcBorders>
              <w:top w:val="single" w:sz="4" w:space="0" w:color="auto"/>
              <w:left w:val="nil"/>
              <w:bottom w:val="single" w:sz="4" w:space="0" w:color="auto"/>
              <w:right w:val="single" w:sz="4" w:space="0" w:color="auto"/>
            </w:tcBorders>
            <w:noWrap/>
            <w:vAlign w:val="center"/>
          </w:tcPr>
          <w:p w14:paraId="42E258D4" w14:textId="77777777" w:rsidR="008F1DFB" w:rsidRPr="007A3503" w:rsidRDefault="008F1DFB" w:rsidP="008F1DFB">
            <w:pPr>
              <w:jc w:val="center"/>
              <w:rPr>
                <w:rFonts w:ascii="Times New Roman" w:hAnsi="Times New Roman"/>
                <w:sz w:val="22"/>
                <w:szCs w:val="22"/>
              </w:rPr>
            </w:pPr>
          </w:p>
        </w:tc>
      </w:tr>
      <w:tr w:rsidR="008F1DFB" w:rsidRPr="007A3503" w14:paraId="352F0E54" w14:textId="77777777" w:rsidTr="00946C9D">
        <w:tc>
          <w:tcPr>
            <w:tcW w:w="709" w:type="dxa"/>
            <w:tcBorders>
              <w:top w:val="single" w:sz="4" w:space="0" w:color="auto"/>
              <w:left w:val="single" w:sz="4" w:space="0" w:color="auto"/>
              <w:bottom w:val="single" w:sz="4" w:space="0" w:color="auto"/>
              <w:right w:val="single" w:sz="4" w:space="0" w:color="auto"/>
            </w:tcBorders>
            <w:noWrap/>
            <w:vAlign w:val="center"/>
          </w:tcPr>
          <w:p w14:paraId="627D2A99"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3746" w:type="dxa"/>
            <w:tcBorders>
              <w:top w:val="single" w:sz="4" w:space="0" w:color="auto"/>
              <w:left w:val="nil"/>
              <w:bottom w:val="single" w:sz="4" w:space="0" w:color="auto"/>
              <w:right w:val="single" w:sz="4" w:space="0" w:color="auto"/>
            </w:tcBorders>
            <w:vAlign w:val="center"/>
          </w:tcPr>
          <w:p w14:paraId="76D810B0"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 xml:space="preserve">Тема 3. Требования к порядку проведения независимой оценки квалификации </w:t>
            </w:r>
          </w:p>
        </w:tc>
        <w:tc>
          <w:tcPr>
            <w:tcW w:w="850" w:type="dxa"/>
            <w:tcBorders>
              <w:top w:val="single" w:sz="4" w:space="0" w:color="auto"/>
              <w:left w:val="nil"/>
              <w:bottom w:val="single" w:sz="4" w:space="0" w:color="auto"/>
              <w:right w:val="single" w:sz="4" w:space="0" w:color="auto"/>
            </w:tcBorders>
            <w:noWrap/>
            <w:vAlign w:val="center"/>
          </w:tcPr>
          <w:p w14:paraId="5A0524D3"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992" w:type="dxa"/>
            <w:tcBorders>
              <w:top w:val="single" w:sz="4" w:space="0" w:color="auto"/>
              <w:left w:val="nil"/>
              <w:bottom w:val="single" w:sz="4" w:space="0" w:color="auto"/>
              <w:right w:val="single" w:sz="4" w:space="0" w:color="auto"/>
            </w:tcBorders>
            <w:noWrap/>
            <w:vAlign w:val="center"/>
          </w:tcPr>
          <w:p w14:paraId="12629A48"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6BC577A6"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206" w:type="dxa"/>
            <w:tcBorders>
              <w:top w:val="single" w:sz="4" w:space="0" w:color="auto"/>
              <w:left w:val="nil"/>
              <w:bottom w:val="single" w:sz="4" w:space="0" w:color="auto"/>
              <w:right w:val="single" w:sz="4" w:space="0" w:color="auto"/>
            </w:tcBorders>
            <w:noWrap/>
            <w:vAlign w:val="center"/>
          </w:tcPr>
          <w:p w14:paraId="118BFDB0"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42900F72"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665" w:type="dxa"/>
            <w:tcBorders>
              <w:top w:val="single" w:sz="4" w:space="0" w:color="auto"/>
              <w:left w:val="nil"/>
              <w:bottom w:val="single" w:sz="4" w:space="0" w:color="auto"/>
              <w:right w:val="single" w:sz="4" w:space="0" w:color="auto"/>
            </w:tcBorders>
            <w:noWrap/>
            <w:vAlign w:val="center"/>
          </w:tcPr>
          <w:p w14:paraId="2BAD5F55" w14:textId="77777777" w:rsidR="008F1DFB" w:rsidRPr="007A3503" w:rsidRDefault="008F1DFB" w:rsidP="008F1DFB">
            <w:pPr>
              <w:jc w:val="center"/>
              <w:rPr>
                <w:rFonts w:ascii="Times New Roman" w:hAnsi="Times New Roman"/>
                <w:sz w:val="22"/>
                <w:szCs w:val="22"/>
              </w:rPr>
            </w:pPr>
          </w:p>
        </w:tc>
      </w:tr>
      <w:tr w:rsidR="008F1DFB" w:rsidRPr="007A3503" w14:paraId="2FC9BB43" w14:textId="77777777" w:rsidTr="00946C9D">
        <w:tc>
          <w:tcPr>
            <w:tcW w:w="709" w:type="dxa"/>
            <w:tcBorders>
              <w:top w:val="single" w:sz="4" w:space="0" w:color="auto"/>
              <w:left w:val="single" w:sz="4" w:space="0" w:color="auto"/>
              <w:bottom w:val="single" w:sz="4" w:space="0" w:color="auto"/>
              <w:right w:val="single" w:sz="4" w:space="0" w:color="auto"/>
            </w:tcBorders>
            <w:noWrap/>
            <w:vAlign w:val="center"/>
          </w:tcPr>
          <w:p w14:paraId="69458D2C"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5</w:t>
            </w:r>
          </w:p>
        </w:tc>
        <w:tc>
          <w:tcPr>
            <w:tcW w:w="3746" w:type="dxa"/>
            <w:tcBorders>
              <w:top w:val="single" w:sz="4" w:space="0" w:color="auto"/>
              <w:left w:val="nil"/>
              <w:bottom w:val="single" w:sz="4" w:space="0" w:color="auto"/>
              <w:right w:val="single" w:sz="4" w:space="0" w:color="auto"/>
            </w:tcBorders>
          </w:tcPr>
          <w:p w14:paraId="2C45B6F7"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 xml:space="preserve">Тема 4. </w:t>
            </w:r>
            <w:r w:rsidRPr="007A3503">
              <w:rPr>
                <w:rFonts w:ascii="Times New Roman" w:hAnsi="Times New Roman"/>
                <w:bCs/>
                <w:kern w:val="1"/>
                <w:sz w:val="22"/>
                <w:szCs w:val="22"/>
                <w:lang w:eastAsia="ar-SA"/>
              </w:rPr>
              <w:t>Методика составления комплекта оценочных средств</w:t>
            </w:r>
            <w:r w:rsidRPr="007A3503">
              <w:rPr>
                <w:rFonts w:ascii="Times New Roman" w:hAnsi="Times New Roman"/>
                <w:sz w:val="22"/>
                <w:szCs w:val="22"/>
              </w:rPr>
              <w:t xml:space="preserve"> </w:t>
            </w:r>
          </w:p>
        </w:tc>
        <w:tc>
          <w:tcPr>
            <w:tcW w:w="850" w:type="dxa"/>
            <w:tcBorders>
              <w:top w:val="single" w:sz="4" w:space="0" w:color="auto"/>
              <w:left w:val="nil"/>
              <w:bottom w:val="single" w:sz="4" w:space="0" w:color="auto"/>
              <w:right w:val="single" w:sz="4" w:space="0" w:color="auto"/>
            </w:tcBorders>
            <w:noWrap/>
            <w:vAlign w:val="center"/>
          </w:tcPr>
          <w:p w14:paraId="0988DD61"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14</w:t>
            </w:r>
          </w:p>
        </w:tc>
        <w:tc>
          <w:tcPr>
            <w:tcW w:w="992" w:type="dxa"/>
            <w:tcBorders>
              <w:top w:val="single" w:sz="4" w:space="0" w:color="auto"/>
              <w:left w:val="nil"/>
              <w:bottom w:val="single" w:sz="4" w:space="0" w:color="auto"/>
              <w:right w:val="single" w:sz="4" w:space="0" w:color="auto"/>
            </w:tcBorders>
            <w:noWrap/>
            <w:vAlign w:val="center"/>
          </w:tcPr>
          <w:p w14:paraId="62A175D4"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67322A91"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206" w:type="dxa"/>
            <w:tcBorders>
              <w:top w:val="single" w:sz="4" w:space="0" w:color="auto"/>
              <w:left w:val="nil"/>
              <w:bottom w:val="single" w:sz="4" w:space="0" w:color="auto"/>
              <w:right w:val="single" w:sz="4" w:space="0" w:color="auto"/>
            </w:tcBorders>
            <w:noWrap/>
            <w:vAlign w:val="center"/>
          </w:tcPr>
          <w:p w14:paraId="0A97F3BE"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026E6531"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12</w:t>
            </w:r>
          </w:p>
        </w:tc>
        <w:tc>
          <w:tcPr>
            <w:tcW w:w="1665" w:type="dxa"/>
            <w:tcBorders>
              <w:top w:val="single" w:sz="4" w:space="0" w:color="auto"/>
              <w:left w:val="nil"/>
              <w:bottom w:val="single" w:sz="4" w:space="0" w:color="auto"/>
              <w:right w:val="single" w:sz="4" w:space="0" w:color="auto"/>
            </w:tcBorders>
            <w:noWrap/>
            <w:vAlign w:val="center"/>
          </w:tcPr>
          <w:p w14:paraId="602CBFDF" w14:textId="77777777" w:rsidR="008F1DFB" w:rsidRPr="007A3503" w:rsidRDefault="008F1DFB" w:rsidP="008F1DFB">
            <w:pPr>
              <w:jc w:val="center"/>
              <w:rPr>
                <w:rFonts w:ascii="Times New Roman" w:hAnsi="Times New Roman"/>
                <w:sz w:val="22"/>
                <w:szCs w:val="22"/>
              </w:rPr>
            </w:pPr>
          </w:p>
        </w:tc>
      </w:tr>
      <w:tr w:rsidR="008F1DFB" w:rsidRPr="007A3503" w14:paraId="6887E46C" w14:textId="77777777" w:rsidTr="00946C9D">
        <w:tc>
          <w:tcPr>
            <w:tcW w:w="709" w:type="dxa"/>
            <w:tcBorders>
              <w:top w:val="single" w:sz="4" w:space="0" w:color="auto"/>
              <w:left w:val="single" w:sz="4" w:space="0" w:color="auto"/>
              <w:bottom w:val="single" w:sz="4" w:space="0" w:color="auto"/>
              <w:right w:val="single" w:sz="4" w:space="0" w:color="auto"/>
            </w:tcBorders>
            <w:noWrap/>
            <w:vAlign w:val="center"/>
          </w:tcPr>
          <w:p w14:paraId="6921BD5F"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6</w:t>
            </w:r>
          </w:p>
        </w:tc>
        <w:tc>
          <w:tcPr>
            <w:tcW w:w="3746" w:type="dxa"/>
            <w:tcBorders>
              <w:top w:val="single" w:sz="4" w:space="0" w:color="auto"/>
              <w:left w:val="nil"/>
              <w:bottom w:val="single" w:sz="4" w:space="0" w:color="auto"/>
              <w:right w:val="single" w:sz="4" w:space="0" w:color="auto"/>
            </w:tcBorders>
          </w:tcPr>
          <w:p w14:paraId="4E6AE304"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 xml:space="preserve">Тема 5. </w:t>
            </w:r>
            <w:r w:rsidRPr="007A3503">
              <w:rPr>
                <w:rFonts w:ascii="Times New Roman" w:hAnsi="Times New Roman"/>
                <w:bCs/>
                <w:sz w:val="22"/>
                <w:szCs w:val="22"/>
              </w:rPr>
              <w:t xml:space="preserve">Особенности организации НОК в стандартах СПКФР. Процедуры сопряжения, признания, учета процедур НОК при проведении ГИА, демонстрационного экзамена </w:t>
            </w:r>
            <w:proofErr w:type="spellStart"/>
            <w:r w:rsidRPr="007A3503">
              <w:rPr>
                <w:rFonts w:ascii="Times New Roman" w:hAnsi="Times New Roman"/>
                <w:bCs/>
                <w:sz w:val="22"/>
                <w:szCs w:val="22"/>
              </w:rPr>
              <w:t>Ворлдскиллс</w:t>
            </w:r>
            <w:proofErr w:type="spellEnd"/>
          </w:p>
        </w:tc>
        <w:tc>
          <w:tcPr>
            <w:tcW w:w="850" w:type="dxa"/>
            <w:tcBorders>
              <w:top w:val="single" w:sz="4" w:space="0" w:color="auto"/>
              <w:left w:val="nil"/>
              <w:bottom w:val="single" w:sz="4" w:space="0" w:color="auto"/>
              <w:right w:val="single" w:sz="4" w:space="0" w:color="auto"/>
            </w:tcBorders>
            <w:noWrap/>
            <w:vAlign w:val="center"/>
          </w:tcPr>
          <w:p w14:paraId="7593F3CE"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992" w:type="dxa"/>
            <w:tcBorders>
              <w:top w:val="single" w:sz="4" w:space="0" w:color="auto"/>
              <w:left w:val="nil"/>
              <w:bottom w:val="single" w:sz="4" w:space="0" w:color="auto"/>
              <w:right w:val="single" w:sz="4" w:space="0" w:color="auto"/>
            </w:tcBorders>
            <w:noWrap/>
            <w:vAlign w:val="center"/>
          </w:tcPr>
          <w:p w14:paraId="47FD207E"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54D468F3"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206" w:type="dxa"/>
            <w:tcBorders>
              <w:top w:val="single" w:sz="4" w:space="0" w:color="auto"/>
              <w:left w:val="nil"/>
              <w:bottom w:val="single" w:sz="4" w:space="0" w:color="auto"/>
              <w:right w:val="single" w:sz="4" w:space="0" w:color="auto"/>
            </w:tcBorders>
            <w:noWrap/>
            <w:vAlign w:val="center"/>
          </w:tcPr>
          <w:p w14:paraId="73CB10AF"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504C04AE" w14:textId="77777777" w:rsidR="008F1DFB" w:rsidRPr="007A3503" w:rsidRDefault="008F1DFB" w:rsidP="008F1DFB">
            <w:pPr>
              <w:jc w:val="center"/>
              <w:rPr>
                <w:rFonts w:ascii="Times New Roman" w:hAnsi="Times New Roman"/>
                <w:sz w:val="22"/>
                <w:szCs w:val="22"/>
              </w:rPr>
            </w:pPr>
          </w:p>
        </w:tc>
        <w:tc>
          <w:tcPr>
            <w:tcW w:w="1665" w:type="dxa"/>
            <w:tcBorders>
              <w:top w:val="single" w:sz="4" w:space="0" w:color="auto"/>
              <w:left w:val="nil"/>
              <w:bottom w:val="single" w:sz="4" w:space="0" w:color="auto"/>
              <w:right w:val="single" w:sz="4" w:space="0" w:color="auto"/>
            </w:tcBorders>
            <w:noWrap/>
            <w:vAlign w:val="center"/>
          </w:tcPr>
          <w:p w14:paraId="0F5C71D6" w14:textId="77777777" w:rsidR="008F1DFB" w:rsidRPr="007A3503" w:rsidRDefault="008F1DFB" w:rsidP="008F1DFB">
            <w:pPr>
              <w:jc w:val="center"/>
              <w:rPr>
                <w:rFonts w:ascii="Times New Roman" w:hAnsi="Times New Roman"/>
                <w:sz w:val="22"/>
                <w:szCs w:val="22"/>
              </w:rPr>
            </w:pPr>
          </w:p>
        </w:tc>
      </w:tr>
      <w:tr w:rsidR="008F1DFB" w:rsidRPr="007A3503" w14:paraId="433132F1" w14:textId="77777777" w:rsidTr="00946C9D">
        <w:tc>
          <w:tcPr>
            <w:tcW w:w="709" w:type="dxa"/>
            <w:tcBorders>
              <w:top w:val="single" w:sz="4" w:space="0" w:color="auto"/>
              <w:left w:val="single" w:sz="4" w:space="0" w:color="auto"/>
              <w:bottom w:val="single" w:sz="4" w:space="0" w:color="auto"/>
              <w:right w:val="single" w:sz="4" w:space="0" w:color="auto"/>
            </w:tcBorders>
            <w:noWrap/>
            <w:vAlign w:val="center"/>
          </w:tcPr>
          <w:p w14:paraId="40530097"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7</w:t>
            </w:r>
          </w:p>
        </w:tc>
        <w:tc>
          <w:tcPr>
            <w:tcW w:w="3746" w:type="dxa"/>
            <w:tcBorders>
              <w:top w:val="single" w:sz="4" w:space="0" w:color="auto"/>
              <w:left w:val="nil"/>
              <w:bottom w:val="single" w:sz="4" w:space="0" w:color="auto"/>
              <w:right w:val="single" w:sz="4" w:space="0" w:color="auto"/>
            </w:tcBorders>
          </w:tcPr>
          <w:p w14:paraId="4B4A7646"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Тема 6. Применение программно-методического комплекса в системе независимой оценки квалификаций СПКФР</w:t>
            </w:r>
          </w:p>
        </w:tc>
        <w:tc>
          <w:tcPr>
            <w:tcW w:w="850" w:type="dxa"/>
            <w:tcBorders>
              <w:top w:val="single" w:sz="4" w:space="0" w:color="auto"/>
              <w:left w:val="nil"/>
              <w:bottom w:val="single" w:sz="4" w:space="0" w:color="auto"/>
              <w:right w:val="single" w:sz="4" w:space="0" w:color="auto"/>
            </w:tcBorders>
            <w:noWrap/>
            <w:vAlign w:val="center"/>
          </w:tcPr>
          <w:p w14:paraId="02A837F8"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992" w:type="dxa"/>
            <w:tcBorders>
              <w:top w:val="single" w:sz="4" w:space="0" w:color="auto"/>
              <w:left w:val="nil"/>
              <w:bottom w:val="single" w:sz="4" w:space="0" w:color="auto"/>
              <w:right w:val="single" w:sz="4" w:space="0" w:color="auto"/>
            </w:tcBorders>
            <w:noWrap/>
            <w:vAlign w:val="center"/>
          </w:tcPr>
          <w:p w14:paraId="0A77E516"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748" w:type="dxa"/>
            <w:tcBorders>
              <w:top w:val="single" w:sz="4" w:space="0" w:color="auto"/>
              <w:left w:val="nil"/>
              <w:bottom w:val="single" w:sz="4" w:space="0" w:color="auto"/>
              <w:right w:val="single" w:sz="4" w:space="0" w:color="auto"/>
            </w:tcBorders>
            <w:vAlign w:val="center"/>
          </w:tcPr>
          <w:p w14:paraId="349C351E" w14:textId="77777777" w:rsidR="008F1DFB" w:rsidRPr="007A3503" w:rsidRDefault="008F1DFB" w:rsidP="008F1DFB">
            <w:pPr>
              <w:jc w:val="center"/>
              <w:rPr>
                <w:rFonts w:ascii="Times New Roman" w:hAnsi="Times New Roman"/>
                <w:sz w:val="22"/>
                <w:szCs w:val="22"/>
              </w:rPr>
            </w:pPr>
          </w:p>
        </w:tc>
        <w:tc>
          <w:tcPr>
            <w:tcW w:w="1206" w:type="dxa"/>
            <w:tcBorders>
              <w:top w:val="single" w:sz="4" w:space="0" w:color="auto"/>
              <w:left w:val="nil"/>
              <w:bottom w:val="single" w:sz="4" w:space="0" w:color="auto"/>
              <w:right w:val="single" w:sz="4" w:space="0" w:color="auto"/>
            </w:tcBorders>
            <w:noWrap/>
            <w:vAlign w:val="center"/>
          </w:tcPr>
          <w:p w14:paraId="67AE8C3D"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676" w:type="dxa"/>
            <w:tcBorders>
              <w:top w:val="single" w:sz="4" w:space="0" w:color="auto"/>
              <w:left w:val="nil"/>
              <w:bottom w:val="single" w:sz="4" w:space="0" w:color="auto"/>
              <w:right w:val="single" w:sz="4" w:space="0" w:color="auto"/>
            </w:tcBorders>
            <w:noWrap/>
            <w:vAlign w:val="center"/>
          </w:tcPr>
          <w:p w14:paraId="2E46F4A3"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1665" w:type="dxa"/>
            <w:tcBorders>
              <w:top w:val="single" w:sz="4" w:space="0" w:color="auto"/>
              <w:left w:val="nil"/>
              <w:bottom w:val="single" w:sz="4" w:space="0" w:color="auto"/>
              <w:right w:val="single" w:sz="4" w:space="0" w:color="auto"/>
            </w:tcBorders>
            <w:noWrap/>
            <w:vAlign w:val="center"/>
          </w:tcPr>
          <w:p w14:paraId="7323E5BB" w14:textId="77777777" w:rsidR="008F1DFB" w:rsidRPr="007A3503" w:rsidRDefault="008F1DFB" w:rsidP="008F1DFB">
            <w:pPr>
              <w:jc w:val="center"/>
              <w:rPr>
                <w:rFonts w:ascii="Times New Roman" w:hAnsi="Times New Roman"/>
                <w:sz w:val="22"/>
                <w:szCs w:val="22"/>
              </w:rPr>
            </w:pPr>
          </w:p>
        </w:tc>
      </w:tr>
      <w:tr w:rsidR="008F1DFB" w:rsidRPr="007A3503" w14:paraId="79EC33F0" w14:textId="77777777" w:rsidTr="00946C9D">
        <w:trPr>
          <w:trHeight w:val="402"/>
        </w:trPr>
        <w:tc>
          <w:tcPr>
            <w:tcW w:w="709" w:type="dxa"/>
            <w:tcBorders>
              <w:top w:val="single" w:sz="4" w:space="0" w:color="auto"/>
              <w:left w:val="single" w:sz="4" w:space="0" w:color="auto"/>
              <w:bottom w:val="single" w:sz="4" w:space="0" w:color="auto"/>
              <w:right w:val="single" w:sz="4" w:space="0" w:color="auto"/>
            </w:tcBorders>
            <w:noWrap/>
            <w:vAlign w:val="center"/>
          </w:tcPr>
          <w:p w14:paraId="517C12B4"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 xml:space="preserve"> </w:t>
            </w:r>
          </w:p>
        </w:tc>
        <w:tc>
          <w:tcPr>
            <w:tcW w:w="3746" w:type="dxa"/>
            <w:tcBorders>
              <w:top w:val="single" w:sz="4" w:space="0" w:color="auto"/>
              <w:left w:val="nil"/>
              <w:bottom w:val="single" w:sz="4" w:space="0" w:color="auto"/>
              <w:right w:val="single" w:sz="4" w:space="0" w:color="auto"/>
            </w:tcBorders>
            <w:vAlign w:val="center"/>
          </w:tcPr>
          <w:p w14:paraId="1FE6645A" w14:textId="77777777" w:rsidR="008F1DFB" w:rsidRPr="007A3503" w:rsidRDefault="008F1DFB" w:rsidP="008F1DFB">
            <w:pPr>
              <w:rPr>
                <w:rFonts w:ascii="Times New Roman" w:hAnsi="Times New Roman"/>
                <w:b/>
                <w:sz w:val="22"/>
                <w:szCs w:val="22"/>
              </w:rPr>
            </w:pPr>
            <w:r w:rsidRPr="007A3503">
              <w:rPr>
                <w:rFonts w:ascii="Times New Roman" w:hAnsi="Times New Roman"/>
                <w:b/>
                <w:sz w:val="22"/>
                <w:szCs w:val="22"/>
              </w:rPr>
              <w:t>Всего:</w:t>
            </w:r>
          </w:p>
        </w:tc>
        <w:tc>
          <w:tcPr>
            <w:tcW w:w="850" w:type="dxa"/>
            <w:tcBorders>
              <w:top w:val="single" w:sz="4" w:space="0" w:color="auto"/>
              <w:left w:val="nil"/>
              <w:bottom w:val="single" w:sz="4" w:space="0" w:color="auto"/>
              <w:right w:val="single" w:sz="4" w:space="0" w:color="auto"/>
            </w:tcBorders>
            <w:noWrap/>
            <w:vAlign w:val="center"/>
          </w:tcPr>
          <w:p w14:paraId="64A485D1"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34</w:t>
            </w:r>
          </w:p>
        </w:tc>
        <w:tc>
          <w:tcPr>
            <w:tcW w:w="992" w:type="dxa"/>
            <w:tcBorders>
              <w:top w:val="single" w:sz="4" w:space="0" w:color="auto"/>
              <w:left w:val="nil"/>
              <w:bottom w:val="single" w:sz="4" w:space="0" w:color="auto"/>
              <w:right w:val="single" w:sz="4" w:space="0" w:color="auto"/>
            </w:tcBorders>
            <w:noWrap/>
            <w:vAlign w:val="center"/>
          </w:tcPr>
          <w:p w14:paraId="16AE9AD0"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14</w:t>
            </w:r>
          </w:p>
        </w:tc>
        <w:tc>
          <w:tcPr>
            <w:tcW w:w="748" w:type="dxa"/>
            <w:tcBorders>
              <w:top w:val="single" w:sz="4" w:space="0" w:color="auto"/>
              <w:left w:val="nil"/>
              <w:bottom w:val="single" w:sz="4" w:space="0" w:color="auto"/>
              <w:right w:val="single" w:sz="4" w:space="0" w:color="auto"/>
            </w:tcBorders>
            <w:vAlign w:val="center"/>
          </w:tcPr>
          <w:p w14:paraId="4375E904"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12</w:t>
            </w:r>
          </w:p>
        </w:tc>
        <w:tc>
          <w:tcPr>
            <w:tcW w:w="1206" w:type="dxa"/>
            <w:tcBorders>
              <w:top w:val="single" w:sz="4" w:space="0" w:color="auto"/>
              <w:left w:val="nil"/>
              <w:bottom w:val="single" w:sz="4" w:space="0" w:color="auto"/>
              <w:right w:val="single" w:sz="4" w:space="0" w:color="auto"/>
            </w:tcBorders>
            <w:noWrap/>
            <w:vAlign w:val="center"/>
          </w:tcPr>
          <w:p w14:paraId="1D7914EC"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676" w:type="dxa"/>
            <w:tcBorders>
              <w:top w:val="single" w:sz="4" w:space="0" w:color="auto"/>
              <w:left w:val="nil"/>
              <w:bottom w:val="single" w:sz="4" w:space="0" w:color="auto"/>
              <w:right w:val="single" w:sz="4" w:space="0" w:color="auto"/>
            </w:tcBorders>
            <w:noWrap/>
            <w:vAlign w:val="center"/>
          </w:tcPr>
          <w:p w14:paraId="49246CBD"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20</w:t>
            </w:r>
          </w:p>
        </w:tc>
        <w:tc>
          <w:tcPr>
            <w:tcW w:w="1665" w:type="dxa"/>
            <w:tcBorders>
              <w:top w:val="single" w:sz="4" w:space="0" w:color="auto"/>
              <w:left w:val="nil"/>
              <w:bottom w:val="single" w:sz="4" w:space="0" w:color="auto"/>
              <w:right w:val="single" w:sz="4" w:space="0" w:color="auto"/>
            </w:tcBorders>
            <w:noWrap/>
            <w:vAlign w:val="center"/>
          </w:tcPr>
          <w:p w14:paraId="156C61AF" w14:textId="77777777" w:rsidR="008F1DFB" w:rsidRPr="007A3503" w:rsidRDefault="008F1DFB" w:rsidP="008F1DFB">
            <w:pPr>
              <w:jc w:val="center"/>
              <w:rPr>
                <w:rFonts w:ascii="Times New Roman" w:hAnsi="Times New Roman"/>
                <w:sz w:val="22"/>
                <w:szCs w:val="22"/>
              </w:rPr>
            </w:pPr>
          </w:p>
        </w:tc>
      </w:tr>
      <w:tr w:rsidR="008F1DFB" w:rsidRPr="007A3503" w14:paraId="3E8B6DFB" w14:textId="77777777" w:rsidTr="00946C9D">
        <w:trPr>
          <w:trHeight w:val="402"/>
        </w:trPr>
        <w:tc>
          <w:tcPr>
            <w:tcW w:w="709" w:type="dxa"/>
            <w:tcBorders>
              <w:top w:val="single" w:sz="4" w:space="0" w:color="auto"/>
              <w:left w:val="single" w:sz="4" w:space="0" w:color="auto"/>
              <w:bottom w:val="single" w:sz="4" w:space="0" w:color="auto"/>
              <w:right w:val="single" w:sz="4" w:space="0" w:color="auto"/>
            </w:tcBorders>
            <w:noWrap/>
            <w:vAlign w:val="center"/>
          </w:tcPr>
          <w:p w14:paraId="75917552" w14:textId="77777777" w:rsidR="008F1DFB" w:rsidRPr="007A3503" w:rsidRDefault="008F1DFB" w:rsidP="008F1DFB">
            <w:pPr>
              <w:jc w:val="center"/>
              <w:rPr>
                <w:rFonts w:ascii="Times New Roman" w:hAnsi="Times New Roman"/>
                <w:sz w:val="22"/>
                <w:szCs w:val="22"/>
              </w:rPr>
            </w:pPr>
          </w:p>
        </w:tc>
        <w:tc>
          <w:tcPr>
            <w:tcW w:w="3746" w:type="dxa"/>
            <w:tcBorders>
              <w:top w:val="single" w:sz="4" w:space="0" w:color="auto"/>
              <w:left w:val="nil"/>
              <w:bottom w:val="single" w:sz="4" w:space="0" w:color="auto"/>
              <w:right w:val="single" w:sz="4" w:space="0" w:color="auto"/>
            </w:tcBorders>
            <w:vAlign w:val="center"/>
          </w:tcPr>
          <w:p w14:paraId="684EC3CC"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Тестирование по нормативным правовым актам</w:t>
            </w:r>
          </w:p>
        </w:tc>
        <w:tc>
          <w:tcPr>
            <w:tcW w:w="850" w:type="dxa"/>
            <w:tcBorders>
              <w:top w:val="single" w:sz="4" w:space="0" w:color="auto"/>
              <w:left w:val="nil"/>
              <w:bottom w:val="single" w:sz="4" w:space="0" w:color="auto"/>
              <w:right w:val="single" w:sz="4" w:space="0" w:color="auto"/>
            </w:tcBorders>
            <w:noWrap/>
            <w:vAlign w:val="center"/>
          </w:tcPr>
          <w:p w14:paraId="30BA5070"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c>
          <w:tcPr>
            <w:tcW w:w="992" w:type="dxa"/>
            <w:tcBorders>
              <w:top w:val="single" w:sz="4" w:space="0" w:color="auto"/>
              <w:left w:val="nil"/>
              <w:bottom w:val="single" w:sz="4" w:space="0" w:color="auto"/>
              <w:right w:val="single" w:sz="4" w:space="0" w:color="auto"/>
            </w:tcBorders>
            <w:noWrap/>
            <w:vAlign w:val="center"/>
          </w:tcPr>
          <w:p w14:paraId="76AC9EAB" w14:textId="77777777" w:rsidR="008F1DFB" w:rsidRPr="007A3503" w:rsidRDefault="008F1DFB" w:rsidP="008F1DFB">
            <w:pPr>
              <w:jc w:val="center"/>
              <w:rPr>
                <w:rFonts w:ascii="Times New Roman" w:hAnsi="Times New Roman"/>
                <w:sz w:val="22"/>
                <w:szCs w:val="22"/>
              </w:rPr>
            </w:pPr>
          </w:p>
        </w:tc>
        <w:tc>
          <w:tcPr>
            <w:tcW w:w="748" w:type="dxa"/>
            <w:tcBorders>
              <w:top w:val="single" w:sz="4" w:space="0" w:color="auto"/>
              <w:left w:val="nil"/>
              <w:bottom w:val="single" w:sz="4" w:space="0" w:color="auto"/>
              <w:right w:val="single" w:sz="4" w:space="0" w:color="auto"/>
            </w:tcBorders>
            <w:vAlign w:val="center"/>
          </w:tcPr>
          <w:p w14:paraId="574FF8FC" w14:textId="77777777" w:rsidR="008F1DFB" w:rsidRPr="007A3503" w:rsidRDefault="008F1DFB" w:rsidP="008F1DFB">
            <w:pPr>
              <w:jc w:val="center"/>
              <w:rPr>
                <w:rFonts w:ascii="Times New Roman" w:hAnsi="Times New Roman"/>
                <w:sz w:val="22"/>
                <w:szCs w:val="22"/>
              </w:rPr>
            </w:pPr>
          </w:p>
        </w:tc>
        <w:tc>
          <w:tcPr>
            <w:tcW w:w="1206" w:type="dxa"/>
            <w:tcBorders>
              <w:top w:val="single" w:sz="4" w:space="0" w:color="auto"/>
              <w:left w:val="nil"/>
              <w:bottom w:val="single" w:sz="4" w:space="0" w:color="auto"/>
              <w:right w:val="single" w:sz="4" w:space="0" w:color="auto"/>
            </w:tcBorders>
            <w:noWrap/>
            <w:vAlign w:val="center"/>
          </w:tcPr>
          <w:p w14:paraId="320FC6EC"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224F0A60" w14:textId="77777777" w:rsidR="008F1DFB" w:rsidRPr="007A3503" w:rsidRDefault="008F1DFB" w:rsidP="008F1DFB">
            <w:pPr>
              <w:jc w:val="center"/>
              <w:rPr>
                <w:rFonts w:ascii="Times New Roman" w:hAnsi="Times New Roman"/>
                <w:sz w:val="22"/>
                <w:szCs w:val="22"/>
              </w:rPr>
            </w:pPr>
          </w:p>
        </w:tc>
        <w:tc>
          <w:tcPr>
            <w:tcW w:w="1665" w:type="dxa"/>
            <w:tcBorders>
              <w:top w:val="single" w:sz="4" w:space="0" w:color="auto"/>
              <w:left w:val="nil"/>
              <w:bottom w:val="single" w:sz="4" w:space="0" w:color="auto"/>
              <w:right w:val="single" w:sz="4" w:space="0" w:color="auto"/>
            </w:tcBorders>
            <w:noWrap/>
            <w:vAlign w:val="center"/>
          </w:tcPr>
          <w:p w14:paraId="4D4DD905"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2</w:t>
            </w:r>
          </w:p>
        </w:tc>
      </w:tr>
      <w:tr w:rsidR="008F1DFB" w:rsidRPr="007A3503" w14:paraId="65395568" w14:textId="77777777" w:rsidTr="00946C9D">
        <w:trPr>
          <w:trHeight w:val="402"/>
        </w:trPr>
        <w:tc>
          <w:tcPr>
            <w:tcW w:w="709" w:type="dxa"/>
            <w:tcBorders>
              <w:top w:val="single" w:sz="4" w:space="0" w:color="auto"/>
              <w:left w:val="single" w:sz="4" w:space="0" w:color="auto"/>
              <w:bottom w:val="single" w:sz="4" w:space="0" w:color="auto"/>
              <w:right w:val="single" w:sz="4" w:space="0" w:color="auto"/>
            </w:tcBorders>
            <w:noWrap/>
            <w:vAlign w:val="center"/>
          </w:tcPr>
          <w:p w14:paraId="060715DF" w14:textId="77777777" w:rsidR="008F1DFB" w:rsidRPr="007A3503" w:rsidRDefault="008F1DFB" w:rsidP="008F1DFB">
            <w:pPr>
              <w:jc w:val="center"/>
              <w:rPr>
                <w:rFonts w:ascii="Times New Roman" w:hAnsi="Times New Roman"/>
                <w:sz w:val="22"/>
                <w:szCs w:val="22"/>
              </w:rPr>
            </w:pPr>
          </w:p>
        </w:tc>
        <w:tc>
          <w:tcPr>
            <w:tcW w:w="3746" w:type="dxa"/>
            <w:tcBorders>
              <w:top w:val="single" w:sz="4" w:space="0" w:color="auto"/>
              <w:left w:val="nil"/>
              <w:bottom w:val="single" w:sz="4" w:space="0" w:color="auto"/>
              <w:right w:val="single" w:sz="4" w:space="0" w:color="auto"/>
            </w:tcBorders>
            <w:vAlign w:val="center"/>
          </w:tcPr>
          <w:p w14:paraId="58DEBDC3"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Защита практического кейса</w:t>
            </w:r>
          </w:p>
        </w:tc>
        <w:tc>
          <w:tcPr>
            <w:tcW w:w="850" w:type="dxa"/>
            <w:tcBorders>
              <w:top w:val="single" w:sz="4" w:space="0" w:color="auto"/>
              <w:left w:val="nil"/>
              <w:bottom w:val="single" w:sz="4" w:space="0" w:color="auto"/>
              <w:right w:val="single" w:sz="4" w:space="0" w:color="auto"/>
            </w:tcBorders>
            <w:noWrap/>
            <w:vAlign w:val="center"/>
          </w:tcPr>
          <w:p w14:paraId="7422D30E"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992" w:type="dxa"/>
            <w:tcBorders>
              <w:top w:val="single" w:sz="4" w:space="0" w:color="auto"/>
              <w:left w:val="nil"/>
              <w:bottom w:val="single" w:sz="4" w:space="0" w:color="auto"/>
              <w:right w:val="single" w:sz="4" w:space="0" w:color="auto"/>
            </w:tcBorders>
            <w:noWrap/>
            <w:vAlign w:val="center"/>
          </w:tcPr>
          <w:p w14:paraId="7707AB88" w14:textId="77777777" w:rsidR="008F1DFB" w:rsidRPr="007A3503" w:rsidRDefault="008F1DFB" w:rsidP="008F1DFB">
            <w:pPr>
              <w:jc w:val="center"/>
              <w:rPr>
                <w:rFonts w:ascii="Times New Roman" w:hAnsi="Times New Roman"/>
                <w:sz w:val="22"/>
                <w:szCs w:val="22"/>
              </w:rPr>
            </w:pPr>
          </w:p>
        </w:tc>
        <w:tc>
          <w:tcPr>
            <w:tcW w:w="748" w:type="dxa"/>
            <w:tcBorders>
              <w:top w:val="single" w:sz="4" w:space="0" w:color="auto"/>
              <w:left w:val="nil"/>
              <w:bottom w:val="single" w:sz="4" w:space="0" w:color="auto"/>
              <w:right w:val="single" w:sz="4" w:space="0" w:color="auto"/>
            </w:tcBorders>
            <w:vAlign w:val="center"/>
          </w:tcPr>
          <w:p w14:paraId="7C4C6C86" w14:textId="77777777" w:rsidR="008F1DFB" w:rsidRPr="007A3503" w:rsidRDefault="008F1DFB" w:rsidP="008F1DFB">
            <w:pPr>
              <w:jc w:val="center"/>
              <w:rPr>
                <w:rFonts w:ascii="Times New Roman" w:hAnsi="Times New Roman"/>
                <w:sz w:val="22"/>
                <w:szCs w:val="22"/>
              </w:rPr>
            </w:pPr>
          </w:p>
        </w:tc>
        <w:tc>
          <w:tcPr>
            <w:tcW w:w="1206" w:type="dxa"/>
            <w:tcBorders>
              <w:top w:val="single" w:sz="4" w:space="0" w:color="auto"/>
              <w:left w:val="nil"/>
              <w:bottom w:val="single" w:sz="4" w:space="0" w:color="auto"/>
              <w:right w:val="single" w:sz="4" w:space="0" w:color="auto"/>
            </w:tcBorders>
            <w:noWrap/>
            <w:vAlign w:val="center"/>
          </w:tcPr>
          <w:p w14:paraId="1AEC5515"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7788B89A"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4</w:t>
            </w:r>
          </w:p>
        </w:tc>
        <w:tc>
          <w:tcPr>
            <w:tcW w:w="1665" w:type="dxa"/>
            <w:tcBorders>
              <w:top w:val="single" w:sz="4" w:space="0" w:color="auto"/>
              <w:left w:val="nil"/>
              <w:bottom w:val="single" w:sz="4" w:space="0" w:color="auto"/>
              <w:right w:val="single" w:sz="4" w:space="0" w:color="auto"/>
            </w:tcBorders>
            <w:noWrap/>
            <w:vAlign w:val="center"/>
          </w:tcPr>
          <w:p w14:paraId="531EF211"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Защита итоговой работы</w:t>
            </w:r>
          </w:p>
        </w:tc>
      </w:tr>
      <w:tr w:rsidR="008F1DFB" w:rsidRPr="007A3503" w14:paraId="1E7CAB04" w14:textId="77777777" w:rsidTr="00946C9D">
        <w:trPr>
          <w:trHeight w:val="402"/>
        </w:trPr>
        <w:tc>
          <w:tcPr>
            <w:tcW w:w="709" w:type="dxa"/>
            <w:tcBorders>
              <w:top w:val="single" w:sz="4" w:space="0" w:color="auto"/>
              <w:left w:val="single" w:sz="4" w:space="0" w:color="auto"/>
              <w:bottom w:val="single" w:sz="4" w:space="0" w:color="auto"/>
              <w:right w:val="single" w:sz="4" w:space="0" w:color="auto"/>
            </w:tcBorders>
            <w:noWrap/>
            <w:vAlign w:val="center"/>
          </w:tcPr>
          <w:p w14:paraId="638E71D0" w14:textId="77777777" w:rsidR="008F1DFB" w:rsidRPr="007A3503" w:rsidRDefault="008F1DFB" w:rsidP="008F1DFB">
            <w:pPr>
              <w:jc w:val="center"/>
              <w:rPr>
                <w:rFonts w:ascii="Times New Roman" w:hAnsi="Times New Roman"/>
                <w:sz w:val="22"/>
                <w:szCs w:val="22"/>
              </w:rPr>
            </w:pPr>
          </w:p>
        </w:tc>
        <w:tc>
          <w:tcPr>
            <w:tcW w:w="3746" w:type="dxa"/>
            <w:tcBorders>
              <w:top w:val="single" w:sz="4" w:space="0" w:color="auto"/>
              <w:left w:val="nil"/>
              <w:bottom w:val="single" w:sz="4" w:space="0" w:color="auto"/>
              <w:right w:val="single" w:sz="4" w:space="0" w:color="auto"/>
            </w:tcBorders>
            <w:vAlign w:val="center"/>
          </w:tcPr>
          <w:p w14:paraId="6AB11C24" w14:textId="77777777" w:rsidR="008F1DFB" w:rsidRPr="007A3503" w:rsidRDefault="008F1DFB" w:rsidP="008F1DFB">
            <w:pPr>
              <w:rPr>
                <w:rFonts w:ascii="Times New Roman" w:hAnsi="Times New Roman"/>
                <w:sz w:val="22"/>
                <w:szCs w:val="22"/>
              </w:rPr>
            </w:pPr>
            <w:r w:rsidRPr="007A3503">
              <w:rPr>
                <w:rFonts w:ascii="Times New Roman" w:hAnsi="Times New Roman"/>
                <w:sz w:val="22"/>
                <w:szCs w:val="22"/>
              </w:rPr>
              <w:t>Итоговая аттестация</w:t>
            </w:r>
          </w:p>
        </w:tc>
        <w:tc>
          <w:tcPr>
            <w:tcW w:w="850" w:type="dxa"/>
            <w:tcBorders>
              <w:top w:val="single" w:sz="4" w:space="0" w:color="auto"/>
              <w:left w:val="nil"/>
              <w:bottom w:val="single" w:sz="4" w:space="0" w:color="auto"/>
              <w:right w:val="single" w:sz="4" w:space="0" w:color="auto"/>
            </w:tcBorders>
            <w:noWrap/>
            <w:vAlign w:val="center"/>
          </w:tcPr>
          <w:p w14:paraId="27917A47"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8</w:t>
            </w:r>
          </w:p>
        </w:tc>
        <w:tc>
          <w:tcPr>
            <w:tcW w:w="992" w:type="dxa"/>
            <w:tcBorders>
              <w:top w:val="single" w:sz="4" w:space="0" w:color="auto"/>
              <w:left w:val="nil"/>
              <w:bottom w:val="single" w:sz="4" w:space="0" w:color="auto"/>
              <w:right w:val="single" w:sz="4" w:space="0" w:color="auto"/>
            </w:tcBorders>
            <w:noWrap/>
            <w:vAlign w:val="center"/>
          </w:tcPr>
          <w:p w14:paraId="130CD089" w14:textId="77777777" w:rsidR="008F1DFB" w:rsidRPr="007A3503" w:rsidRDefault="008F1DFB" w:rsidP="008F1DFB">
            <w:pPr>
              <w:jc w:val="center"/>
              <w:rPr>
                <w:rFonts w:ascii="Times New Roman" w:hAnsi="Times New Roman"/>
                <w:sz w:val="22"/>
                <w:szCs w:val="22"/>
              </w:rPr>
            </w:pPr>
          </w:p>
        </w:tc>
        <w:tc>
          <w:tcPr>
            <w:tcW w:w="748" w:type="dxa"/>
            <w:tcBorders>
              <w:top w:val="single" w:sz="4" w:space="0" w:color="auto"/>
              <w:left w:val="nil"/>
              <w:bottom w:val="single" w:sz="4" w:space="0" w:color="auto"/>
              <w:right w:val="single" w:sz="4" w:space="0" w:color="auto"/>
            </w:tcBorders>
            <w:vAlign w:val="center"/>
          </w:tcPr>
          <w:p w14:paraId="6DA8C9F8" w14:textId="77777777" w:rsidR="008F1DFB" w:rsidRPr="007A3503" w:rsidRDefault="008F1DFB" w:rsidP="008F1DFB">
            <w:pPr>
              <w:jc w:val="center"/>
              <w:rPr>
                <w:rFonts w:ascii="Times New Roman" w:hAnsi="Times New Roman"/>
                <w:sz w:val="22"/>
                <w:szCs w:val="22"/>
              </w:rPr>
            </w:pPr>
          </w:p>
        </w:tc>
        <w:tc>
          <w:tcPr>
            <w:tcW w:w="1206" w:type="dxa"/>
            <w:tcBorders>
              <w:top w:val="single" w:sz="4" w:space="0" w:color="auto"/>
              <w:left w:val="nil"/>
              <w:bottom w:val="single" w:sz="4" w:space="0" w:color="auto"/>
              <w:right w:val="single" w:sz="4" w:space="0" w:color="auto"/>
            </w:tcBorders>
            <w:noWrap/>
            <w:vAlign w:val="center"/>
          </w:tcPr>
          <w:p w14:paraId="7F5923C1" w14:textId="77777777" w:rsidR="008F1DFB" w:rsidRPr="007A3503" w:rsidRDefault="008F1DFB" w:rsidP="008F1DFB">
            <w:pPr>
              <w:jc w:val="center"/>
              <w:rPr>
                <w:rFonts w:ascii="Times New Roman" w:hAnsi="Times New Roman"/>
                <w:sz w:val="22"/>
                <w:szCs w:val="22"/>
              </w:rPr>
            </w:pPr>
          </w:p>
        </w:tc>
        <w:tc>
          <w:tcPr>
            <w:tcW w:w="676" w:type="dxa"/>
            <w:tcBorders>
              <w:top w:val="single" w:sz="4" w:space="0" w:color="auto"/>
              <w:left w:val="nil"/>
              <w:bottom w:val="single" w:sz="4" w:space="0" w:color="auto"/>
              <w:right w:val="single" w:sz="4" w:space="0" w:color="auto"/>
            </w:tcBorders>
            <w:noWrap/>
            <w:vAlign w:val="center"/>
          </w:tcPr>
          <w:p w14:paraId="19BD9C46"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8</w:t>
            </w:r>
          </w:p>
        </w:tc>
        <w:tc>
          <w:tcPr>
            <w:tcW w:w="1665" w:type="dxa"/>
            <w:tcBorders>
              <w:top w:val="single" w:sz="4" w:space="0" w:color="auto"/>
              <w:left w:val="nil"/>
              <w:bottom w:val="single" w:sz="4" w:space="0" w:color="auto"/>
              <w:right w:val="single" w:sz="4" w:space="0" w:color="auto"/>
            </w:tcBorders>
            <w:noWrap/>
          </w:tcPr>
          <w:p w14:paraId="1A20F855" w14:textId="77777777" w:rsidR="008F1DFB" w:rsidRPr="007A3503" w:rsidRDefault="008F1DFB" w:rsidP="008F1DFB">
            <w:pPr>
              <w:jc w:val="center"/>
              <w:rPr>
                <w:rFonts w:ascii="Times New Roman" w:hAnsi="Times New Roman"/>
                <w:sz w:val="22"/>
                <w:szCs w:val="22"/>
              </w:rPr>
            </w:pPr>
            <w:proofErr w:type="spellStart"/>
            <w:proofErr w:type="gramStart"/>
            <w:r w:rsidRPr="007A3503">
              <w:rPr>
                <w:rFonts w:ascii="Times New Roman" w:hAnsi="Times New Roman"/>
                <w:sz w:val="22"/>
                <w:szCs w:val="22"/>
              </w:rPr>
              <w:t>Профес-сиональный</w:t>
            </w:r>
            <w:proofErr w:type="spellEnd"/>
            <w:proofErr w:type="gramEnd"/>
          </w:p>
          <w:p w14:paraId="7DE3929E" w14:textId="77777777" w:rsidR="008F1DFB" w:rsidRPr="007A3503" w:rsidRDefault="008F1DFB" w:rsidP="008F1DFB">
            <w:pPr>
              <w:jc w:val="center"/>
              <w:rPr>
                <w:rFonts w:ascii="Times New Roman" w:hAnsi="Times New Roman"/>
                <w:sz w:val="22"/>
                <w:szCs w:val="22"/>
              </w:rPr>
            </w:pPr>
            <w:r w:rsidRPr="007A3503">
              <w:rPr>
                <w:rFonts w:ascii="Times New Roman" w:hAnsi="Times New Roman"/>
                <w:sz w:val="22"/>
                <w:szCs w:val="22"/>
              </w:rPr>
              <w:t xml:space="preserve">экзамен </w:t>
            </w:r>
          </w:p>
        </w:tc>
      </w:tr>
      <w:tr w:rsidR="008F1DFB" w:rsidRPr="007A3503" w14:paraId="57AA63B5" w14:textId="77777777" w:rsidTr="00946C9D">
        <w:trPr>
          <w:trHeight w:val="402"/>
        </w:trPr>
        <w:tc>
          <w:tcPr>
            <w:tcW w:w="709" w:type="dxa"/>
            <w:tcBorders>
              <w:top w:val="single" w:sz="4" w:space="0" w:color="auto"/>
              <w:left w:val="single" w:sz="4" w:space="0" w:color="auto"/>
              <w:bottom w:val="single" w:sz="4" w:space="0" w:color="auto"/>
              <w:right w:val="single" w:sz="4" w:space="0" w:color="auto"/>
            </w:tcBorders>
            <w:noWrap/>
            <w:vAlign w:val="center"/>
          </w:tcPr>
          <w:p w14:paraId="2FB9766C" w14:textId="77777777" w:rsidR="008F1DFB" w:rsidRPr="007A3503" w:rsidRDefault="008F1DFB" w:rsidP="008F1DFB">
            <w:pPr>
              <w:jc w:val="center"/>
              <w:rPr>
                <w:rFonts w:ascii="Times New Roman" w:hAnsi="Times New Roman"/>
                <w:sz w:val="22"/>
                <w:szCs w:val="22"/>
              </w:rPr>
            </w:pPr>
          </w:p>
        </w:tc>
        <w:tc>
          <w:tcPr>
            <w:tcW w:w="3746" w:type="dxa"/>
            <w:tcBorders>
              <w:top w:val="single" w:sz="4" w:space="0" w:color="auto"/>
              <w:left w:val="nil"/>
              <w:bottom w:val="single" w:sz="4" w:space="0" w:color="auto"/>
              <w:right w:val="single" w:sz="4" w:space="0" w:color="auto"/>
            </w:tcBorders>
          </w:tcPr>
          <w:p w14:paraId="7900C906" w14:textId="77777777" w:rsidR="008F1DFB" w:rsidRPr="007A3503" w:rsidRDefault="008F1DFB" w:rsidP="008F1DFB">
            <w:pPr>
              <w:jc w:val="right"/>
              <w:rPr>
                <w:rFonts w:ascii="Times New Roman" w:hAnsi="Times New Roman"/>
                <w:b/>
                <w:sz w:val="22"/>
                <w:szCs w:val="22"/>
              </w:rPr>
            </w:pPr>
            <w:r w:rsidRPr="007A3503">
              <w:rPr>
                <w:rFonts w:ascii="Times New Roman" w:hAnsi="Times New Roman"/>
                <w:b/>
                <w:sz w:val="22"/>
                <w:szCs w:val="22"/>
              </w:rPr>
              <w:t>ИТОГО:</w:t>
            </w:r>
          </w:p>
        </w:tc>
        <w:tc>
          <w:tcPr>
            <w:tcW w:w="850" w:type="dxa"/>
            <w:tcBorders>
              <w:top w:val="single" w:sz="4" w:space="0" w:color="auto"/>
              <w:left w:val="nil"/>
              <w:bottom w:val="single" w:sz="4" w:space="0" w:color="auto"/>
              <w:right w:val="single" w:sz="4" w:space="0" w:color="auto"/>
            </w:tcBorders>
            <w:noWrap/>
          </w:tcPr>
          <w:p w14:paraId="2E2CE96F" w14:textId="77777777" w:rsidR="008F1DFB" w:rsidRPr="007A3503" w:rsidRDefault="008F1DFB" w:rsidP="008F1DFB">
            <w:pPr>
              <w:jc w:val="center"/>
              <w:rPr>
                <w:rFonts w:ascii="Times New Roman" w:hAnsi="Times New Roman"/>
                <w:b/>
                <w:sz w:val="22"/>
                <w:szCs w:val="22"/>
              </w:rPr>
            </w:pPr>
            <w:r w:rsidRPr="007A3503">
              <w:rPr>
                <w:rFonts w:ascii="Times New Roman" w:hAnsi="Times New Roman"/>
                <w:b/>
                <w:sz w:val="22"/>
                <w:szCs w:val="22"/>
              </w:rPr>
              <w:t>48</w:t>
            </w:r>
          </w:p>
        </w:tc>
        <w:tc>
          <w:tcPr>
            <w:tcW w:w="992" w:type="dxa"/>
            <w:tcBorders>
              <w:top w:val="single" w:sz="4" w:space="0" w:color="auto"/>
              <w:left w:val="nil"/>
              <w:bottom w:val="single" w:sz="4" w:space="0" w:color="auto"/>
              <w:right w:val="single" w:sz="4" w:space="0" w:color="auto"/>
            </w:tcBorders>
            <w:noWrap/>
          </w:tcPr>
          <w:p w14:paraId="0C0423B7" w14:textId="77777777" w:rsidR="008F1DFB" w:rsidRPr="007A3503" w:rsidRDefault="008F1DFB" w:rsidP="008F1DFB">
            <w:pPr>
              <w:rPr>
                <w:rFonts w:ascii="Times New Roman" w:hAnsi="Times New Roman"/>
                <w:b/>
                <w:sz w:val="22"/>
                <w:szCs w:val="22"/>
              </w:rPr>
            </w:pPr>
          </w:p>
        </w:tc>
        <w:tc>
          <w:tcPr>
            <w:tcW w:w="748" w:type="dxa"/>
            <w:tcBorders>
              <w:top w:val="single" w:sz="4" w:space="0" w:color="auto"/>
              <w:left w:val="nil"/>
              <w:bottom w:val="single" w:sz="4" w:space="0" w:color="auto"/>
              <w:right w:val="single" w:sz="4" w:space="0" w:color="auto"/>
            </w:tcBorders>
          </w:tcPr>
          <w:p w14:paraId="15DAD589" w14:textId="77777777" w:rsidR="008F1DFB" w:rsidRPr="007A3503" w:rsidRDefault="008F1DFB" w:rsidP="008F1DFB">
            <w:pPr>
              <w:rPr>
                <w:rFonts w:ascii="Times New Roman" w:hAnsi="Times New Roman"/>
                <w:b/>
                <w:sz w:val="22"/>
                <w:szCs w:val="22"/>
              </w:rPr>
            </w:pPr>
          </w:p>
        </w:tc>
        <w:tc>
          <w:tcPr>
            <w:tcW w:w="1206" w:type="dxa"/>
            <w:tcBorders>
              <w:top w:val="single" w:sz="4" w:space="0" w:color="auto"/>
              <w:left w:val="nil"/>
              <w:bottom w:val="single" w:sz="4" w:space="0" w:color="auto"/>
              <w:right w:val="single" w:sz="4" w:space="0" w:color="auto"/>
            </w:tcBorders>
            <w:noWrap/>
          </w:tcPr>
          <w:p w14:paraId="073EA923" w14:textId="77777777" w:rsidR="008F1DFB" w:rsidRPr="007A3503" w:rsidRDefault="008F1DFB" w:rsidP="008F1DFB">
            <w:pPr>
              <w:rPr>
                <w:rFonts w:ascii="Times New Roman" w:hAnsi="Times New Roman"/>
                <w:b/>
                <w:sz w:val="22"/>
                <w:szCs w:val="22"/>
              </w:rPr>
            </w:pPr>
          </w:p>
        </w:tc>
        <w:tc>
          <w:tcPr>
            <w:tcW w:w="676" w:type="dxa"/>
            <w:tcBorders>
              <w:top w:val="single" w:sz="4" w:space="0" w:color="auto"/>
              <w:left w:val="nil"/>
              <w:bottom w:val="single" w:sz="4" w:space="0" w:color="auto"/>
              <w:right w:val="single" w:sz="4" w:space="0" w:color="auto"/>
            </w:tcBorders>
            <w:noWrap/>
            <w:vAlign w:val="center"/>
          </w:tcPr>
          <w:p w14:paraId="09EB5851" w14:textId="77777777" w:rsidR="008F1DFB" w:rsidRPr="007A3503" w:rsidRDefault="008F1DFB" w:rsidP="008F1DFB">
            <w:pPr>
              <w:jc w:val="center"/>
              <w:rPr>
                <w:rFonts w:ascii="Times New Roman" w:hAnsi="Times New Roman"/>
                <w:sz w:val="22"/>
                <w:szCs w:val="22"/>
              </w:rPr>
            </w:pPr>
          </w:p>
        </w:tc>
        <w:tc>
          <w:tcPr>
            <w:tcW w:w="1665" w:type="dxa"/>
            <w:tcBorders>
              <w:top w:val="single" w:sz="4" w:space="0" w:color="auto"/>
              <w:left w:val="nil"/>
              <w:bottom w:val="single" w:sz="4" w:space="0" w:color="auto"/>
              <w:right w:val="single" w:sz="4" w:space="0" w:color="auto"/>
            </w:tcBorders>
            <w:noWrap/>
            <w:vAlign w:val="center"/>
          </w:tcPr>
          <w:p w14:paraId="24A7E289" w14:textId="77777777" w:rsidR="008F1DFB" w:rsidRPr="007A3503" w:rsidRDefault="008F1DFB" w:rsidP="008F1DFB">
            <w:pPr>
              <w:jc w:val="center"/>
              <w:rPr>
                <w:rFonts w:ascii="Times New Roman" w:hAnsi="Times New Roman"/>
                <w:sz w:val="22"/>
                <w:szCs w:val="22"/>
              </w:rPr>
            </w:pPr>
          </w:p>
        </w:tc>
      </w:tr>
    </w:tbl>
    <w:p w14:paraId="3EBFEA99" w14:textId="77777777" w:rsidR="008F1DFB" w:rsidRPr="007A3503" w:rsidRDefault="008F1DFB" w:rsidP="008F1DFB">
      <w:pPr>
        <w:rPr>
          <w:rFonts w:ascii="Times New Roman" w:hAnsi="Times New Roman"/>
          <w:sz w:val="22"/>
          <w:szCs w:val="22"/>
        </w:rPr>
      </w:pPr>
    </w:p>
    <w:p w14:paraId="6397D33C"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3.2. Учебная программа</w:t>
      </w:r>
    </w:p>
    <w:p w14:paraId="528F94F7" w14:textId="77777777" w:rsidR="008F1DFB" w:rsidRPr="007A3503" w:rsidRDefault="008F1DFB" w:rsidP="008F1DFB">
      <w:pPr>
        <w:rPr>
          <w:rFonts w:ascii="Times New Roman" w:hAnsi="Times New Roman"/>
          <w:b/>
          <w:bCs/>
          <w:sz w:val="22"/>
          <w:szCs w:val="22"/>
        </w:rPr>
      </w:pPr>
    </w:p>
    <w:p w14:paraId="69529E58"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Введение</w:t>
      </w:r>
    </w:p>
    <w:p w14:paraId="21919546"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 xml:space="preserve">Общие сведения о системе независимой оценки квалификации в России. Организация деятельности СПКФР. Принципы формирования и структура современных систем квалификаций. Профессиональные стандарты. Квалификации. Национальная рамка квалификаций. Международный опыт систем профессиональных квалификаций. Сближение квалификационных требований специалистов финансового рынка в странах-членах ЕЭК. </w:t>
      </w:r>
    </w:p>
    <w:p w14:paraId="69186935" w14:textId="77777777" w:rsidR="008F1DFB" w:rsidRPr="007A3503" w:rsidRDefault="008F1DFB" w:rsidP="008F1DFB">
      <w:pPr>
        <w:jc w:val="both"/>
        <w:rPr>
          <w:rFonts w:ascii="Times New Roman" w:hAnsi="Times New Roman"/>
          <w:sz w:val="22"/>
          <w:szCs w:val="22"/>
        </w:rPr>
      </w:pPr>
    </w:p>
    <w:p w14:paraId="6888FABB" w14:textId="77777777" w:rsidR="008F1DFB" w:rsidRPr="007A3503" w:rsidRDefault="008F1DFB" w:rsidP="008F1DFB">
      <w:pPr>
        <w:jc w:val="both"/>
        <w:rPr>
          <w:rFonts w:ascii="Times New Roman" w:hAnsi="Times New Roman"/>
          <w:b/>
          <w:bCs/>
          <w:sz w:val="22"/>
          <w:szCs w:val="22"/>
        </w:rPr>
      </w:pPr>
      <w:r w:rsidRPr="007A3503">
        <w:rPr>
          <w:rFonts w:ascii="Times New Roman" w:hAnsi="Times New Roman"/>
          <w:b/>
          <w:sz w:val="22"/>
          <w:szCs w:val="22"/>
        </w:rPr>
        <w:lastRenderedPageBreak/>
        <w:t>Тема 1.</w:t>
      </w:r>
      <w:r w:rsidRPr="007A3503">
        <w:rPr>
          <w:rFonts w:ascii="Times New Roman" w:hAnsi="Times New Roman"/>
          <w:sz w:val="22"/>
          <w:szCs w:val="22"/>
        </w:rPr>
        <w:t xml:space="preserve"> </w:t>
      </w:r>
      <w:r w:rsidRPr="007A3503">
        <w:rPr>
          <w:rFonts w:ascii="Times New Roman" w:hAnsi="Times New Roman"/>
          <w:b/>
          <w:bCs/>
          <w:sz w:val="22"/>
          <w:szCs w:val="22"/>
        </w:rPr>
        <w:t>Нормативно-правовая база системы независимой оценки квалификации, разработки профессиональных стандартов, наименований квалификаций и оценочных средств</w:t>
      </w:r>
    </w:p>
    <w:p w14:paraId="6A07C806" w14:textId="77777777" w:rsidR="008F1DFB" w:rsidRPr="007A3503" w:rsidRDefault="008F1DFB" w:rsidP="008F1DFB">
      <w:pPr>
        <w:rPr>
          <w:rFonts w:ascii="Times New Roman" w:hAnsi="Times New Roman"/>
          <w:b/>
          <w:sz w:val="22"/>
          <w:szCs w:val="22"/>
        </w:rPr>
      </w:pPr>
      <w:r w:rsidRPr="007A3503">
        <w:rPr>
          <w:rFonts w:ascii="Times New Roman" w:hAnsi="Times New Roman"/>
          <w:b/>
          <w:sz w:val="22"/>
          <w:szCs w:val="22"/>
        </w:rPr>
        <w:t>Лекция:</w:t>
      </w:r>
    </w:p>
    <w:p w14:paraId="47918431"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 xml:space="preserve">Нормативные правовые акты, регламентирующие разработку и применение профессиональных стандартов, наименования квалификаций и оценочных средств. Принципы формирования и структура современных систем квалификаций. Понятие «независимая оценка квалификации». Назначение, структура и содержание профессионального стандарта. Область профессиональной деятельности и вид профессиональной деятельности. Квалификация как предмет оценки. Понятие квалификация. Соотношение понятий: квалификация, компетенция, профессия, трудовая функция. Понятия: трудовое действие, знание, умение, профессиональный навык. </w:t>
      </w:r>
    </w:p>
    <w:p w14:paraId="348928DD" w14:textId="77777777" w:rsidR="008F1DFB" w:rsidRPr="007A3503" w:rsidRDefault="008F1DFB" w:rsidP="008F1DFB">
      <w:pPr>
        <w:jc w:val="both"/>
        <w:rPr>
          <w:rFonts w:ascii="Times New Roman" w:hAnsi="Times New Roman"/>
          <w:b/>
          <w:sz w:val="22"/>
          <w:szCs w:val="22"/>
        </w:rPr>
      </w:pPr>
      <w:r w:rsidRPr="007A3503">
        <w:rPr>
          <w:rFonts w:ascii="Times New Roman" w:hAnsi="Times New Roman"/>
          <w:b/>
          <w:sz w:val="22"/>
          <w:szCs w:val="22"/>
        </w:rPr>
        <w:t>Самостоятельная работа:</w:t>
      </w:r>
    </w:p>
    <w:p w14:paraId="0CF170B1"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Изучение нормативных правовых актов и методических документов по процедуре независимой оценки квалификации.</w:t>
      </w:r>
    </w:p>
    <w:p w14:paraId="257CF7F1" w14:textId="77777777" w:rsidR="008F1DFB" w:rsidRPr="007A3503" w:rsidRDefault="008F1DFB" w:rsidP="008F1DFB">
      <w:pPr>
        <w:rPr>
          <w:rFonts w:ascii="Times New Roman" w:hAnsi="Times New Roman"/>
          <w:b/>
          <w:sz w:val="22"/>
          <w:szCs w:val="22"/>
        </w:rPr>
      </w:pPr>
    </w:p>
    <w:p w14:paraId="46409086" w14:textId="77777777" w:rsidR="008F1DFB" w:rsidRPr="007A3503" w:rsidRDefault="008F1DFB" w:rsidP="008F1DFB">
      <w:pPr>
        <w:rPr>
          <w:rFonts w:ascii="Times New Roman" w:hAnsi="Times New Roman"/>
          <w:b/>
          <w:bCs/>
          <w:sz w:val="22"/>
          <w:szCs w:val="22"/>
        </w:rPr>
      </w:pPr>
      <w:r w:rsidRPr="007A3503">
        <w:rPr>
          <w:rFonts w:ascii="Times New Roman" w:hAnsi="Times New Roman"/>
          <w:b/>
          <w:sz w:val="22"/>
          <w:szCs w:val="22"/>
        </w:rPr>
        <w:t>Тема 2.</w:t>
      </w:r>
      <w:r w:rsidRPr="007A3503">
        <w:rPr>
          <w:rFonts w:ascii="Times New Roman" w:hAnsi="Times New Roman"/>
          <w:sz w:val="22"/>
          <w:szCs w:val="22"/>
        </w:rPr>
        <w:t xml:space="preserve"> </w:t>
      </w:r>
      <w:r w:rsidRPr="007A3503">
        <w:rPr>
          <w:rFonts w:ascii="Times New Roman" w:hAnsi="Times New Roman"/>
          <w:b/>
          <w:bCs/>
          <w:sz w:val="22"/>
          <w:szCs w:val="22"/>
        </w:rPr>
        <w:t xml:space="preserve">Порядок организации центра оценки квалификации и отбора организаций для наделения их полномочиями по проведению независимой оценки квалификаций. </w:t>
      </w:r>
    </w:p>
    <w:p w14:paraId="35F53275" w14:textId="77777777" w:rsidR="008F1DFB" w:rsidRPr="007A3503" w:rsidRDefault="008F1DFB" w:rsidP="008F1DFB">
      <w:pPr>
        <w:rPr>
          <w:rFonts w:ascii="Times New Roman" w:hAnsi="Times New Roman"/>
          <w:b/>
          <w:sz w:val="22"/>
          <w:szCs w:val="22"/>
        </w:rPr>
      </w:pPr>
      <w:r w:rsidRPr="007A3503">
        <w:rPr>
          <w:rFonts w:ascii="Times New Roman" w:hAnsi="Times New Roman"/>
          <w:b/>
          <w:sz w:val="22"/>
          <w:szCs w:val="22"/>
        </w:rPr>
        <w:t xml:space="preserve">Лекция: </w:t>
      </w:r>
    </w:p>
    <w:p w14:paraId="1A9D7AD0"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 xml:space="preserve">Нормативные правовые акты, обеспечивающие порядок организации центра оценки квалификации и отбора организаций для наделения их полномочиями по проведению независимой оценки квалификаций. Требования к центрам оценки квалификации (ЦОК). Порядок отбора организаций для наделения их полномочиями по проведению независимой оценки квалификации и прекращения этих полномочий. Требования и порядок отбора и ведения реестра </w:t>
      </w:r>
      <w:proofErr w:type="gramStart"/>
      <w:r w:rsidRPr="007A3503">
        <w:rPr>
          <w:rFonts w:ascii="Times New Roman" w:hAnsi="Times New Roman"/>
          <w:sz w:val="22"/>
          <w:szCs w:val="22"/>
        </w:rPr>
        <w:t>экспертов по независимой оценке</w:t>
      </w:r>
      <w:proofErr w:type="gramEnd"/>
      <w:r w:rsidRPr="007A3503">
        <w:rPr>
          <w:rFonts w:ascii="Times New Roman" w:hAnsi="Times New Roman"/>
          <w:sz w:val="22"/>
          <w:szCs w:val="22"/>
        </w:rPr>
        <w:t xml:space="preserve"> квалификации к экспертам. </w:t>
      </w:r>
    </w:p>
    <w:p w14:paraId="267D3BE8" w14:textId="77777777" w:rsidR="008F1DFB" w:rsidRPr="007A3503" w:rsidRDefault="008F1DFB" w:rsidP="008F1DFB">
      <w:pPr>
        <w:jc w:val="both"/>
        <w:rPr>
          <w:rFonts w:ascii="Times New Roman" w:hAnsi="Times New Roman"/>
          <w:b/>
          <w:sz w:val="22"/>
          <w:szCs w:val="22"/>
        </w:rPr>
      </w:pPr>
      <w:r w:rsidRPr="007A3503">
        <w:rPr>
          <w:rFonts w:ascii="Times New Roman" w:hAnsi="Times New Roman"/>
          <w:b/>
          <w:sz w:val="22"/>
          <w:szCs w:val="22"/>
        </w:rPr>
        <w:t>Самостоятельная работа:</w:t>
      </w:r>
    </w:p>
    <w:p w14:paraId="2D6FEB8E"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Изучение нормативных правовых актов и методических документов, обеспечивающих порядок организации центра оценки квалификации и отбора организаций для наделения их полномочиями по проведению независимой оценки квалификаций.</w:t>
      </w:r>
    </w:p>
    <w:p w14:paraId="39AC69DF" w14:textId="77777777" w:rsidR="008F1DFB" w:rsidRPr="007A3503" w:rsidRDefault="008F1DFB" w:rsidP="008F1DFB">
      <w:pPr>
        <w:ind w:left="-567" w:firstLine="567"/>
        <w:jc w:val="both"/>
        <w:rPr>
          <w:rFonts w:ascii="Times New Roman" w:hAnsi="Times New Roman"/>
          <w:bCs/>
          <w:kern w:val="1"/>
          <w:sz w:val="22"/>
          <w:szCs w:val="22"/>
          <w:lang w:eastAsia="ar-SA"/>
        </w:rPr>
      </w:pPr>
    </w:p>
    <w:p w14:paraId="26666E33" w14:textId="77777777" w:rsidR="008F1DFB" w:rsidRPr="007A3503" w:rsidRDefault="008F1DFB" w:rsidP="008F1DFB">
      <w:pPr>
        <w:rPr>
          <w:rFonts w:ascii="Times New Roman" w:hAnsi="Times New Roman"/>
          <w:bCs/>
          <w:sz w:val="22"/>
          <w:szCs w:val="22"/>
        </w:rPr>
      </w:pPr>
      <w:r w:rsidRPr="007A3503">
        <w:rPr>
          <w:rFonts w:ascii="Times New Roman" w:hAnsi="Times New Roman"/>
          <w:b/>
          <w:bCs/>
          <w:sz w:val="22"/>
          <w:szCs w:val="22"/>
        </w:rPr>
        <w:t>Тема 3.</w:t>
      </w:r>
      <w:r w:rsidRPr="007A3503">
        <w:rPr>
          <w:rFonts w:ascii="Times New Roman" w:hAnsi="Times New Roman"/>
          <w:sz w:val="22"/>
          <w:szCs w:val="22"/>
        </w:rPr>
        <w:t xml:space="preserve"> </w:t>
      </w:r>
      <w:bookmarkStart w:id="0" w:name="_Hlk17374995"/>
      <w:r w:rsidRPr="007A3503">
        <w:rPr>
          <w:rFonts w:ascii="Times New Roman" w:hAnsi="Times New Roman"/>
          <w:b/>
          <w:bCs/>
          <w:sz w:val="22"/>
          <w:szCs w:val="22"/>
        </w:rPr>
        <w:t>Порядок проведения центром оценки квалификаций независимой оценки квалификации в форме профессионального экзамена</w:t>
      </w:r>
      <w:bookmarkEnd w:id="0"/>
      <w:r w:rsidRPr="007A3503">
        <w:rPr>
          <w:rFonts w:ascii="Times New Roman" w:hAnsi="Times New Roman"/>
          <w:b/>
          <w:bCs/>
          <w:sz w:val="22"/>
          <w:szCs w:val="22"/>
        </w:rPr>
        <w:t>.</w:t>
      </w:r>
    </w:p>
    <w:p w14:paraId="429E5A5E" w14:textId="77777777" w:rsidR="008F1DFB" w:rsidRPr="007A3503" w:rsidRDefault="008F1DFB" w:rsidP="008F1DFB">
      <w:pPr>
        <w:rPr>
          <w:rFonts w:ascii="Times New Roman" w:hAnsi="Times New Roman"/>
          <w:b/>
          <w:sz w:val="22"/>
          <w:szCs w:val="22"/>
        </w:rPr>
      </w:pPr>
      <w:r w:rsidRPr="007A3503">
        <w:rPr>
          <w:rFonts w:ascii="Times New Roman" w:hAnsi="Times New Roman"/>
          <w:b/>
          <w:sz w:val="22"/>
          <w:szCs w:val="22"/>
        </w:rPr>
        <w:t xml:space="preserve">Лекция: </w:t>
      </w:r>
    </w:p>
    <w:p w14:paraId="4FFD98B2"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 xml:space="preserve">Правила проведения центром оценки квалификаций независимой оценки квалификации в форме профессионального экзамена. Особенности организации, проведения, оформления результатов профессионального экзамена в рамках процедуры независимой оценки квалификации. </w:t>
      </w:r>
    </w:p>
    <w:p w14:paraId="4ED7C89E"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Процедуры проведения независимой оценки квалификации. Организация работы ЦОК, экзаменационных центров ЦОК. Материально-техническое и кадровое обеспечение, необходимое для проведения профессионального экзамена. Формирование состава экспертной комиссии для проведения профессионального экзамена. Этапы и порядок проведения профессионального экзамена. Особенности организации теоретической части профессионального экзамена. Особенности организации практической части профессионального экзамена. Документирование процедур. Оформление результатов профессионального экзамена. Передача сведений в реестр сведений о проведении независимой оценки квалификации.</w:t>
      </w:r>
    </w:p>
    <w:p w14:paraId="47383B13" w14:textId="77777777" w:rsidR="008F1DFB" w:rsidRPr="007A3503" w:rsidRDefault="008F1DFB" w:rsidP="008F1DFB">
      <w:pPr>
        <w:jc w:val="both"/>
        <w:rPr>
          <w:rFonts w:ascii="Times New Roman" w:hAnsi="Times New Roman"/>
          <w:b/>
          <w:sz w:val="22"/>
          <w:szCs w:val="22"/>
        </w:rPr>
      </w:pPr>
      <w:r w:rsidRPr="007A3503">
        <w:rPr>
          <w:rFonts w:ascii="Times New Roman" w:hAnsi="Times New Roman"/>
          <w:b/>
          <w:sz w:val="22"/>
          <w:szCs w:val="22"/>
        </w:rPr>
        <w:t>Самостоятельная работа:</w:t>
      </w:r>
    </w:p>
    <w:p w14:paraId="533F3466"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Изучение нормативных правовых актов и методических документов, обеспечивающих порядок проведения центром оценки квалификаций независимой оценки квалификации в форме профессионального экзамена.</w:t>
      </w:r>
    </w:p>
    <w:p w14:paraId="3ACA077E" w14:textId="77777777" w:rsidR="008F1DFB" w:rsidRPr="007A3503" w:rsidRDefault="008F1DFB" w:rsidP="008F1DFB">
      <w:pPr>
        <w:jc w:val="both"/>
        <w:rPr>
          <w:rFonts w:ascii="Times New Roman" w:hAnsi="Times New Roman"/>
          <w:sz w:val="22"/>
          <w:szCs w:val="22"/>
        </w:rPr>
      </w:pPr>
    </w:p>
    <w:p w14:paraId="738E4FD3" w14:textId="77777777" w:rsidR="008F1DFB" w:rsidRPr="007A3503" w:rsidRDefault="008F1DFB" w:rsidP="008F1DFB">
      <w:pPr>
        <w:rPr>
          <w:rFonts w:ascii="Times New Roman" w:hAnsi="Times New Roman"/>
          <w:b/>
          <w:sz w:val="22"/>
          <w:szCs w:val="22"/>
        </w:rPr>
      </w:pPr>
      <w:r w:rsidRPr="007A3503">
        <w:rPr>
          <w:rFonts w:ascii="Times New Roman" w:hAnsi="Times New Roman"/>
          <w:b/>
          <w:bCs/>
          <w:sz w:val="22"/>
          <w:szCs w:val="22"/>
        </w:rPr>
        <w:t xml:space="preserve">Тема 4. </w:t>
      </w:r>
      <w:r w:rsidRPr="007A3503">
        <w:rPr>
          <w:rFonts w:ascii="Times New Roman" w:hAnsi="Times New Roman"/>
          <w:b/>
          <w:kern w:val="1"/>
          <w:sz w:val="22"/>
          <w:szCs w:val="22"/>
          <w:lang w:eastAsia="ar-SA"/>
        </w:rPr>
        <w:t>Требования к составлению комплекта оценочных средств.</w:t>
      </w:r>
    </w:p>
    <w:p w14:paraId="359956CD"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Лекция:</w:t>
      </w:r>
    </w:p>
    <w:p w14:paraId="56A3C7C5"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Разработка и применение оценочных средств для проведения профессиональных экзаменов. Структура оценочного средства. Разработка оценочных заданий для практического этапа профессионального экзамена. Разработка оценочных заданий для теоретического этапа профессионального экзамена. Оформление оценочных средств. Экспертиза оценочных средств. Особенности применения оценочных средств при организации и проведении профессионального экзамена.</w:t>
      </w:r>
    </w:p>
    <w:p w14:paraId="6433AD7A" w14:textId="77777777" w:rsidR="008F1DFB" w:rsidRPr="007A3503" w:rsidRDefault="008F1DFB" w:rsidP="008F1DFB">
      <w:pPr>
        <w:ind w:left="-567" w:firstLine="567"/>
        <w:jc w:val="both"/>
        <w:rPr>
          <w:rFonts w:ascii="Times New Roman" w:hAnsi="Times New Roman"/>
          <w:b/>
          <w:sz w:val="22"/>
          <w:szCs w:val="22"/>
        </w:rPr>
      </w:pPr>
      <w:r w:rsidRPr="007A3503">
        <w:rPr>
          <w:rFonts w:ascii="Times New Roman" w:hAnsi="Times New Roman"/>
          <w:b/>
          <w:sz w:val="22"/>
          <w:szCs w:val="22"/>
        </w:rPr>
        <w:t xml:space="preserve">Самостоятельная работа: </w:t>
      </w:r>
    </w:p>
    <w:p w14:paraId="2D930427"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Подготовка макета комплекта оценочных средств по соответствующей квалификации.</w:t>
      </w:r>
    </w:p>
    <w:p w14:paraId="7C13160B" w14:textId="77777777" w:rsidR="008F1DFB" w:rsidRPr="007A3503" w:rsidRDefault="008F1DFB" w:rsidP="008F1DFB">
      <w:pPr>
        <w:rPr>
          <w:rFonts w:ascii="Times New Roman" w:hAnsi="Times New Roman"/>
          <w:b/>
          <w:bCs/>
          <w:sz w:val="22"/>
          <w:szCs w:val="22"/>
        </w:rPr>
      </w:pPr>
    </w:p>
    <w:p w14:paraId="0341A7F3" w14:textId="77777777" w:rsidR="008F1DFB" w:rsidRPr="007A3503" w:rsidRDefault="008F1DFB" w:rsidP="008F1DFB">
      <w:pPr>
        <w:rPr>
          <w:rFonts w:ascii="Times New Roman" w:hAnsi="Times New Roman"/>
          <w:b/>
          <w:sz w:val="22"/>
          <w:szCs w:val="22"/>
        </w:rPr>
      </w:pPr>
      <w:r w:rsidRPr="007A3503">
        <w:rPr>
          <w:rFonts w:ascii="Times New Roman" w:hAnsi="Times New Roman"/>
          <w:b/>
          <w:bCs/>
          <w:sz w:val="22"/>
          <w:szCs w:val="22"/>
        </w:rPr>
        <w:t xml:space="preserve">Тема 5. </w:t>
      </w:r>
      <w:r w:rsidRPr="007A3503">
        <w:rPr>
          <w:rFonts w:ascii="Times New Roman" w:hAnsi="Times New Roman"/>
          <w:b/>
          <w:sz w:val="22"/>
          <w:szCs w:val="22"/>
        </w:rPr>
        <w:t>Особенности организации независимой оценки квалификации в стандартах СПКФР. Независимая оценка квалификации как инструмент повышения качества подготовки кадров.</w:t>
      </w:r>
    </w:p>
    <w:p w14:paraId="08D4C3D0"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Лекция:</w:t>
      </w:r>
    </w:p>
    <w:p w14:paraId="6568AE52"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 xml:space="preserve">Побудительные мотивы сопряжения процедур НОК и ГИА. Институциональная основа для проведения НОК, сопряженной с ГИА. Процедуры сопряжения, признания, учета процедур НОК при проведении ГИА, демонстрационного экзамена </w:t>
      </w:r>
      <w:proofErr w:type="spellStart"/>
      <w:r w:rsidRPr="007A3503">
        <w:rPr>
          <w:rFonts w:ascii="Times New Roman" w:hAnsi="Times New Roman"/>
          <w:sz w:val="22"/>
          <w:szCs w:val="22"/>
        </w:rPr>
        <w:t>Ворлдскиллс</w:t>
      </w:r>
      <w:proofErr w:type="spellEnd"/>
      <w:r w:rsidRPr="007A3503">
        <w:rPr>
          <w:rFonts w:ascii="Times New Roman" w:hAnsi="Times New Roman"/>
          <w:sz w:val="22"/>
          <w:szCs w:val="22"/>
        </w:rPr>
        <w:t xml:space="preserve">. Выдача сертификатов признания теоретической части профессионального экзамена. </w:t>
      </w:r>
    </w:p>
    <w:p w14:paraId="7BF4739E" w14:textId="77777777" w:rsidR="008F1DFB" w:rsidRPr="007A3503" w:rsidRDefault="008F1DFB" w:rsidP="008F1DFB">
      <w:pPr>
        <w:ind w:left="-567" w:firstLine="567"/>
        <w:jc w:val="both"/>
        <w:rPr>
          <w:rFonts w:ascii="Times New Roman" w:hAnsi="Times New Roman"/>
          <w:sz w:val="22"/>
          <w:szCs w:val="22"/>
        </w:rPr>
      </w:pPr>
    </w:p>
    <w:p w14:paraId="6C045E45" w14:textId="77777777" w:rsidR="008F1DFB" w:rsidRPr="007A3503" w:rsidRDefault="008F1DFB" w:rsidP="008F1DFB">
      <w:pPr>
        <w:ind w:left="-567" w:firstLine="567"/>
        <w:jc w:val="both"/>
        <w:rPr>
          <w:rFonts w:ascii="Times New Roman" w:hAnsi="Times New Roman"/>
          <w:b/>
          <w:bCs/>
          <w:sz w:val="22"/>
          <w:szCs w:val="22"/>
        </w:rPr>
      </w:pPr>
      <w:r w:rsidRPr="007A3503">
        <w:rPr>
          <w:rFonts w:ascii="Times New Roman" w:hAnsi="Times New Roman"/>
          <w:b/>
          <w:bCs/>
          <w:sz w:val="22"/>
          <w:szCs w:val="22"/>
        </w:rPr>
        <w:t>Тема 6. Применение программно-методического комплекса в системе независимой оценки квалификаций СПКФР</w:t>
      </w:r>
    </w:p>
    <w:p w14:paraId="7EA1703A" w14:textId="77777777" w:rsidR="008F1DFB" w:rsidRPr="007A3503" w:rsidRDefault="008F1DFB" w:rsidP="008F1DFB">
      <w:pPr>
        <w:rPr>
          <w:rFonts w:ascii="Times New Roman" w:hAnsi="Times New Roman"/>
          <w:b/>
          <w:sz w:val="22"/>
          <w:szCs w:val="22"/>
        </w:rPr>
      </w:pPr>
      <w:r w:rsidRPr="007A3503">
        <w:rPr>
          <w:rFonts w:ascii="Times New Roman" w:hAnsi="Times New Roman"/>
          <w:b/>
          <w:sz w:val="22"/>
          <w:szCs w:val="22"/>
        </w:rPr>
        <w:t>Практическое занятие:</w:t>
      </w:r>
    </w:p>
    <w:p w14:paraId="125B6852"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b/>
          <w:bCs/>
          <w:sz w:val="22"/>
          <w:szCs w:val="22"/>
        </w:rPr>
        <w:t xml:space="preserve">Автоматизация процессов ЦОК. </w:t>
      </w:r>
      <w:r w:rsidRPr="007A3503">
        <w:rPr>
          <w:rFonts w:ascii="Times New Roman" w:hAnsi="Times New Roman"/>
          <w:sz w:val="22"/>
          <w:szCs w:val="22"/>
        </w:rPr>
        <w:t xml:space="preserve">Личные кабинеты соискателей: регистрация, подача заявок, отслеживание результатов экзаменов. Администрирование ЦОК: личные кабинеты сотрудников, формирование расписания экзаменов, взаимодействие с экспертами НОК, прием и обработка заявок от соискателей, информационные разделы (архив экзаменов, список соискателей). Интеграция с СПКФР, НАРК и платежными системами. Обеспечение исполнения 152-ФЗ «О персональных данных». Интеграция с сайтом ЦОК в формате </w:t>
      </w:r>
      <w:proofErr w:type="spellStart"/>
      <w:r w:rsidRPr="007A3503">
        <w:rPr>
          <w:rFonts w:ascii="Times New Roman" w:hAnsi="Times New Roman"/>
          <w:sz w:val="22"/>
          <w:szCs w:val="22"/>
        </w:rPr>
        <w:t>white-label</w:t>
      </w:r>
      <w:proofErr w:type="spellEnd"/>
      <w:r w:rsidRPr="007A3503">
        <w:rPr>
          <w:rFonts w:ascii="Times New Roman" w:hAnsi="Times New Roman"/>
          <w:sz w:val="22"/>
          <w:szCs w:val="22"/>
        </w:rPr>
        <w:t xml:space="preserve">. </w:t>
      </w:r>
    </w:p>
    <w:p w14:paraId="57BDC005"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b/>
          <w:bCs/>
          <w:sz w:val="22"/>
          <w:szCs w:val="22"/>
        </w:rPr>
        <w:t xml:space="preserve">Автоматизация работы экспертов НОК. </w:t>
      </w:r>
      <w:r w:rsidRPr="007A3503">
        <w:rPr>
          <w:rFonts w:ascii="Times New Roman" w:hAnsi="Times New Roman"/>
          <w:sz w:val="22"/>
          <w:szCs w:val="22"/>
        </w:rPr>
        <w:t xml:space="preserve">Личные кабинеты экспертов: регистрация, обработка запросов на проведение экзаменов от ЦОК. Проведение экзаменов: допуск соискателей, контроль за ходом проведения экзамена. Обработка результатов экзаменов, электронное подписание протоколов и заключений. Информационные разделы: архив экзаменов, связанные ЦОК, присвоенные квалификации и полученные свидетельства. </w:t>
      </w:r>
    </w:p>
    <w:p w14:paraId="257C5C6E"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b/>
          <w:bCs/>
          <w:sz w:val="22"/>
          <w:szCs w:val="22"/>
        </w:rPr>
        <w:t>Ключевые разделы.</w:t>
      </w:r>
      <w:r w:rsidRPr="007A3503">
        <w:rPr>
          <w:rFonts w:ascii="Times New Roman" w:hAnsi="Times New Roman"/>
          <w:sz w:val="22"/>
          <w:szCs w:val="22"/>
        </w:rPr>
        <w:t xml:space="preserve"> Создание экзаменов и назначение экспертов. Регистрация соискателей. Получение и обработка заявок на запись. Архив экзаменов. Управление сотрудниками ЦОК. Прохождение экзамена соискателями. Техническое обеспечение и поддержка. Схема взаимодействия участников.</w:t>
      </w:r>
    </w:p>
    <w:p w14:paraId="2EF2AEEB" w14:textId="77777777" w:rsidR="008F1DFB" w:rsidRPr="007A3503" w:rsidRDefault="008F1DFB" w:rsidP="008F1DFB">
      <w:pPr>
        <w:ind w:hanging="567"/>
        <w:jc w:val="center"/>
        <w:rPr>
          <w:rFonts w:ascii="Times New Roman" w:hAnsi="Times New Roman"/>
          <w:sz w:val="22"/>
          <w:szCs w:val="22"/>
        </w:rPr>
      </w:pPr>
    </w:p>
    <w:p w14:paraId="2F2D47BC"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4. Формы и методы обучения</w:t>
      </w:r>
    </w:p>
    <w:p w14:paraId="7725D361"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В процессе преподавания дисциплины используются лекционные, практические занятия, а также самостоятельная работа по домашнему повторению материала и изучению рекомендованных нормативных и учебных материалов. При проведении лекционных занятий используются мультимедийные средства обучения, а также демонстрационные и наглядно-иллюстрационные (в том числе раздаточные) материалы. Для оценивания правильности усвоенного слушателем материала проводится промежуточное тестирование. Для наработки практических навыков используются практические занятия и защита практического кейса.</w:t>
      </w:r>
    </w:p>
    <w:p w14:paraId="012B3983" w14:textId="77777777" w:rsidR="008F1DFB" w:rsidRPr="007A3503" w:rsidRDefault="008F1DFB" w:rsidP="008F1DFB">
      <w:pPr>
        <w:ind w:left="-567" w:firstLine="567"/>
        <w:jc w:val="both"/>
        <w:rPr>
          <w:rFonts w:ascii="Times New Roman" w:hAnsi="Times New Roman"/>
          <w:sz w:val="22"/>
          <w:szCs w:val="22"/>
        </w:rPr>
      </w:pPr>
    </w:p>
    <w:p w14:paraId="724A0112" w14:textId="77777777" w:rsidR="008F1DFB" w:rsidRPr="007A3503" w:rsidRDefault="008F1DFB" w:rsidP="008F1DFB">
      <w:pPr>
        <w:rPr>
          <w:rFonts w:ascii="Times New Roman" w:hAnsi="Times New Roman"/>
          <w:b/>
          <w:bCs/>
          <w:sz w:val="22"/>
          <w:szCs w:val="22"/>
        </w:rPr>
      </w:pPr>
      <w:r w:rsidRPr="007A3503">
        <w:rPr>
          <w:rFonts w:ascii="Times New Roman" w:hAnsi="Times New Roman"/>
          <w:b/>
          <w:bCs/>
          <w:sz w:val="22"/>
          <w:szCs w:val="22"/>
        </w:rPr>
        <w:t>5. Материально-технические условия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352"/>
        <w:gridCol w:w="3775"/>
      </w:tblGrid>
      <w:tr w:rsidR="008F1DFB" w:rsidRPr="00ED6A9C" w14:paraId="566A1C75" w14:textId="77777777" w:rsidTr="00946C9D">
        <w:tc>
          <w:tcPr>
            <w:tcW w:w="0" w:type="auto"/>
            <w:shd w:val="clear" w:color="auto" w:fill="auto"/>
          </w:tcPr>
          <w:p w14:paraId="1C180F5F" w14:textId="77777777" w:rsidR="008F1DFB" w:rsidRPr="00ED6A9C" w:rsidRDefault="008F1DFB" w:rsidP="008F1DFB">
            <w:pPr>
              <w:jc w:val="center"/>
              <w:rPr>
                <w:rFonts w:ascii="Times New Roman" w:hAnsi="Times New Roman"/>
                <w:b/>
                <w:sz w:val="22"/>
                <w:szCs w:val="22"/>
              </w:rPr>
            </w:pPr>
            <w:r w:rsidRPr="00ED6A9C">
              <w:rPr>
                <w:rFonts w:ascii="Times New Roman" w:hAnsi="Times New Roman"/>
                <w:b/>
                <w:sz w:val="22"/>
                <w:szCs w:val="22"/>
              </w:rPr>
              <w:t>Наименование помещения</w:t>
            </w:r>
          </w:p>
        </w:tc>
        <w:tc>
          <w:tcPr>
            <w:tcW w:w="0" w:type="auto"/>
            <w:shd w:val="clear" w:color="auto" w:fill="auto"/>
          </w:tcPr>
          <w:p w14:paraId="621269E1" w14:textId="77777777" w:rsidR="008F1DFB" w:rsidRPr="00ED6A9C" w:rsidRDefault="008F1DFB" w:rsidP="008F1DFB">
            <w:pPr>
              <w:jc w:val="center"/>
              <w:rPr>
                <w:rFonts w:ascii="Times New Roman" w:hAnsi="Times New Roman"/>
                <w:b/>
                <w:sz w:val="22"/>
                <w:szCs w:val="22"/>
              </w:rPr>
            </w:pPr>
            <w:r w:rsidRPr="00ED6A9C">
              <w:rPr>
                <w:rFonts w:ascii="Times New Roman" w:hAnsi="Times New Roman"/>
                <w:b/>
                <w:sz w:val="22"/>
                <w:szCs w:val="22"/>
              </w:rPr>
              <w:t>Вид занятий</w:t>
            </w:r>
          </w:p>
        </w:tc>
        <w:tc>
          <w:tcPr>
            <w:tcW w:w="0" w:type="auto"/>
            <w:shd w:val="clear" w:color="auto" w:fill="auto"/>
          </w:tcPr>
          <w:p w14:paraId="7774C9AE" w14:textId="77777777" w:rsidR="008F1DFB" w:rsidRPr="00ED6A9C" w:rsidRDefault="008F1DFB" w:rsidP="008F1DFB">
            <w:pPr>
              <w:jc w:val="center"/>
              <w:rPr>
                <w:rFonts w:ascii="Times New Roman" w:hAnsi="Times New Roman"/>
                <w:b/>
                <w:sz w:val="22"/>
                <w:szCs w:val="22"/>
              </w:rPr>
            </w:pPr>
            <w:r w:rsidRPr="00ED6A9C">
              <w:rPr>
                <w:rFonts w:ascii="Times New Roman" w:hAnsi="Times New Roman"/>
                <w:b/>
                <w:sz w:val="22"/>
                <w:szCs w:val="22"/>
              </w:rPr>
              <w:t>Наименование оборудования</w:t>
            </w:r>
          </w:p>
        </w:tc>
      </w:tr>
      <w:tr w:rsidR="008F1DFB" w:rsidRPr="00ED6A9C" w14:paraId="783EA15D" w14:textId="77777777" w:rsidTr="00946C9D">
        <w:tc>
          <w:tcPr>
            <w:tcW w:w="0" w:type="auto"/>
            <w:shd w:val="clear" w:color="auto" w:fill="auto"/>
          </w:tcPr>
          <w:p w14:paraId="3FD2A545" w14:textId="77777777" w:rsidR="008F1DFB" w:rsidRPr="00ED6A9C" w:rsidRDefault="008F1DFB" w:rsidP="008F1DFB">
            <w:pPr>
              <w:rPr>
                <w:rFonts w:ascii="Times New Roman" w:hAnsi="Times New Roman"/>
                <w:sz w:val="22"/>
                <w:szCs w:val="22"/>
              </w:rPr>
            </w:pPr>
            <w:r w:rsidRPr="00ED6A9C">
              <w:rPr>
                <w:rFonts w:ascii="Times New Roman" w:hAnsi="Times New Roman"/>
                <w:sz w:val="22"/>
                <w:szCs w:val="22"/>
              </w:rPr>
              <w:t>Аудитория</w:t>
            </w:r>
          </w:p>
        </w:tc>
        <w:tc>
          <w:tcPr>
            <w:tcW w:w="0" w:type="auto"/>
            <w:shd w:val="clear" w:color="auto" w:fill="auto"/>
          </w:tcPr>
          <w:p w14:paraId="0F1B3012" w14:textId="77777777" w:rsidR="008F1DFB" w:rsidRPr="00ED6A9C" w:rsidRDefault="008F1DFB" w:rsidP="008F1DFB">
            <w:pPr>
              <w:rPr>
                <w:rFonts w:ascii="Times New Roman" w:hAnsi="Times New Roman"/>
                <w:sz w:val="22"/>
                <w:szCs w:val="22"/>
              </w:rPr>
            </w:pPr>
            <w:r w:rsidRPr="00ED6A9C">
              <w:rPr>
                <w:rFonts w:ascii="Times New Roman" w:hAnsi="Times New Roman"/>
                <w:sz w:val="22"/>
                <w:szCs w:val="22"/>
              </w:rPr>
              <w:t>Лекции</w:t>
            </w:r>
          </w:p>
        </w:tc>
        <w:tc>
          <w:tcPr>
            <w:tcW w:w="0" w:type="auto"/>
            <w:shd w:val="clear" w:color="auto" w:fill="auto"/>
          </w:tcPr>
          <w:p w14:paraId="210FDA83" w14:textId="77777777" w:rsidR="008F1DFB" w:rsidRPr="00ED6A9C" w:rsidRDefault="008F1DFB" w:rsidP="008F1DFB">
            <w:pPr>
              <w:rPr>
                <w:rFonts w:ascii="Times New Roman" w:hAnsi="Times New Roman"/>
                <w:sz w:val="22"/>
                <w:szCs w:val="22"/>
              </w:rPr>
            </w:pPr>
            <w:r w:rsidRPr="00ED6A9C">
              <w:rPr>
                <w:rFonts w:ascii="Times New Roman" w:hAnsi="Times New Roman"/>
                <w:sz w:val="22"/>
                <w:szCs w:val="22"/>
              </w:rPr>
              <w:t xml:space="preserve">Компьютер, мультимедийный проектор экран, доска, </w:t>
            </w:r>
            <w:proofErr w:type="spellStart"/>
            <w:r w:rsidRPr="00ED6A9C">
              <w:rPr>
                <w:rFonts w:ascii="Times New Roman" w:hAnsi="Times New Roman"/>
                <w:sz w:val="22"/>
                <w:szCs w:val="22"/>
              </w:rPr>
              <w:t>флипчарт</w:t>
            </w:r>
            <w:proofErr w:type="spellEnd"/>
          </w:p>
        </w:tc>
      </w:tr>
      <w:tr w:rsidR="008F1DFB" w:rsidRPr="00ED6A9C" w14:paraId="7B261EFB" w14:textId="77777777" w:rsidTr="00946C9D">
        <w:tc>
          <w:tcPr>
            <w:tcW w:w="0" w:type="auto"/>
            <w:shd w:val="clear" w:color="auto" w:fill="auto"/>
          </w:tcPr>
          <w:p w14:paraId="15C15B75" w14:textId="77777777" w:rsidR="008F1DFB" w:rsidRPr="00ED6A9C" w:rsidRDefault="008F1DFB" w:rsidP="008F1DFB">
            <w:pPr>
              <w:rPr>
                <w:rFonts w:ascii="Times New Roman" w:hAnsi="Times New Roman"/>
                <w:sz w:val="22"/>
                <w:szCs w:val="22"/>
              </w:rPr>
            </w:pPr>
            <w:r w:rsidRPr="00ED6A9C">
              <w:rPr>
                <w:rFonts w:ascii="Times New Roman" w:hAnsi="Times New Roman"/>
                <w:sz w:val="22"/>
                <w:szCs w:val="22"/>
              </w:rPr>
              <w:t>Компьютерный класс</w:t>
            </w:r>
          </w:p>
        </w:tc>
        <w:tc>
          <w:tcPr>
            <w:tcW w:w="0" w:type="auto"/>
            <w:shd w:val="clear" w:color="auto" w:fill="auto"/>
          </w:tcPr>
          <w:p w14:paraId="35DE55EC" w14:textId="77777777" w:rsidR="008F1DFB" w:rsidRPr="00ED6A9C" w:rsidRDefault="008F1DFB" w:rsidP="008F1DFB">
            <w:pPr>
              <w:rPr>
                <w:rFonts w:ascii="Times New Roman" w:hAnsi="Times New Roman"/>
                <w:sz w:val="22"/>
                <w:szCs w:val="22"/>
              </w:rPr>
            </w:pPr>
            <w:r w:rsidRPr="00ED6A9C">
              <w:rPr>
                <w:rFonts w:ascii="Times New Roman" w:hAnsi="Times New Roman"/>
                <w:sz w:val="22"/>
                <w:szCs w:val="22"/>
              </w:rPr>
              <w:t>Практические занятия, профессиональный экзамен</w:t>
            </w:r>
          </w:p>
        </w:tc>
        <w:tc>
          <w:tcPr>
            <w:tcW w:w="0" w:type="auto"/>
            <w:shd w:val="clear" w:color="auto" w:fill="auto"/>
          </w:tcPr>
          <w:p w14:paraId="2D92FDFA" w14:textId="77777777" w:rsidR="008F1DFB" w:rsidRPr="00ED6A9C" w:rsidRDefault="008F1DFB" w:rsidP="008F1DFB">
            <w:pPr>
              <w:rPr>
                <w:rFonts w:ascii="Times New Roman" w:hAnsi="Times New Roman"/>
                <w:sz w:val="22"/>
                <w:szCs w:val="22"/>
              </w:rPr>
            </w:pPr>
            <w:r w:rsidRPr="00ED6A9C">
              <w:rPr>
                <w:rFonts w:ascii="Times New Roman" w:hAnsi="Times New Roman"/>
                <w:sz w:val="22"/>
                <w:szCs w:val="22"/>
              </w:rPr>
              <w:t>Компьютеры, программное обеспечение</w:t>
            </w:r>
          </w:p>
        </w:tc>
      </w:tr>
    </w:tbl>
    <w:p w14:paraId="007F881C" w14:textId="77777777" w:rsidR="008F1DFB" w:rsidRPr="007A3503" w:rsidRDefault="008F1DFB" w:rsidP="008F1DFB">
      <w:pPr>
        <w:rPr>
          <w:rFonts w:ascii="Times New Roman" w:hAnsi="Times New Roman"/>
          <w:sz w:val="22"/>
          <w:szCs w:val="22"/>
        </w:rPr>
      </w:pPr>
    </w:p>
    <w:p w14:paraId="379556A4" w14:textId="77777777" w:rsidR="008F1DFB" w:rsidRPr="007A3503" w:rsidRDefault="008F1DFB" w:rsidP="008F1DFB">
      <w:pPr>
        <w:rPr>
          <w:rFonts w:ascii="Times New Roman" w:hAnsi="Times New Roman"/>
          <w:b/>
          <w:sz w:val="22"/>
          <w:szCs w:val="22"/>
        </w:rPr>
      </w:pPr>
      <w:r w:rsidRPr="007A3503">
        <w:rPr>
          <w:rFonts w:ascii="Times New Roman" w:hAnsi="Times New Roman"/>
          <w:b/>
          <w:bCs/>
          <w:sz w:val="22"/>
          <w:szCs w:val="22"/>
        </w:rPr>
        <w:t xml:space="preserve">6. </w:t>
      </w:r>
      <w:r w:rsidRPr="007A3503">
        <w:rPr>
          <w:rFonts w:ascii="Times New Roman" w:hAnsi="Times New Roman"/>
          <w:b/>
          <w:sz w:val="22"/>
          <w:szCs w:val="22"/>
        </w:rPr>
        <w:t>Литература:</w:t>
      </w:r>
    </w:p>
    <w:p w14:paraId="77299B75" w14:textId="77777777" w:rsidR="008F1DFB" w:rsidRPr="007A3503" w:rsidRDefault="008F1DFB" w:rsidP="008F1DFB">
      <w:pPr>
        <w:pStyle w:val="a4"/>
        <w:numPr>
          <w:ilvl w:val="0"/>
          <w:numId w:val="3"/>
        </w:numPr>
        <w:ind w:right="40"/>
        <w:contextualSpacing/>
        <w:jc w:val="both"/>
        <w:rPr>
          <w:sz w:val="22"/>
          <w:szCs w:val="22"/>
        </w:rPr>
      </w:pPr>
      <w:r w:rsidRPr="007A3503">
        <w:rPr>
          <w:sz w:val="22"/>
          <w:szCs w:val="22"/>
        </w:rPr>
        <w:t xml:space="preserve">Нормативно-правовые документы: </w:t>
      </w:r>
      <w:hyperlink r:id="rId5" w:history="1">
        <w:r w:rsidRPr="007A3503">
          <w:rPr>
            <w:sz w:val="22"/>
            <w:szCs w:val="22"/>
          </w:rPr>
          <w:t>https://asprof.ru/about/nspk</w:t>
        </w:r>
      </w:hyperlink>
      <w:r w:rsidRPr="007A3503">
        <w:rPr>
          <w:sz w:val="22"/>
          <w:szCs w:val="22"/>
        </w:rPr>
        <w:t>.</w:t>
      </w:r>
    </w:p>
    <w:p w14:paraId="123DC08E" w14:textId="77777777" w:rsidR="008F1DFB" w:rsidRPr="007A3503" w:rsidRDefault="008F1DFB" w:rsidP="008F1DFB">
      <w:pPr>
        <w:pStyle w:val="1"/>
        <w:numPr>
          <w:ilvl w:val="0"/>
          <w:numId w:val="3"/>
        </w:numPr>
        <w:spacing w:line="276" w:lineRule="auto"/>
        <w:rPr>
          <w:rFonts w:ascii="Times New Roman" w:eastAsia="Times New Roman" w:hAnsi="Times New Roman" w:cs="Times New Roman"/>
          <w:bCs/>
        </w:rPr>
      </w:pPr>
      <w:r w:rsidRPr="007A3503">
        <w:rPr>
          <w:rFonts w:ascii="Times New Roman" w:eastAsia="Times New Roman" w:hAnsi="Times New Roman" w:cs="Times New Roman"/>
          <w:bCs/>
        </w:rPr>
        <w:t xml:space="preserve">Лейбович А. Н., Факторович А. А., </w:t>
      </w:r>
      <w:proofErr w:type="spellStart"/>
      <w:r w:rsidRPr="007A3503">
        <w:rPr>
          <w:rFonts w:ascii="Times New Roman" w:eastAsia="Times New Roman" w:hAnsi="Times New Roman" w:cs="Times New Roman"/>
          <w:bCs/>
        </w:rPr>
        <w:t>Перевертайло</w:t>
      </w:r>
      <w:proofErr w:type="spellEnd"/>
      <w:r w:rsidRPr="007A3503">
        <w:rPr>
          <w:rFonts w:ascii="Times New Roman" w:eastAsia="Times New Roman" w:hAnsi="Times New Roman" w:cs="Times New Roman"/>
          <w:bCs/>
        </w:rPr>
        <w:t xml:space="preserve"> А. С., Лушников С. А. Разработка и применение оценочных средств для проведения профессиональных экзаменов: сборник методических рекомендаций / под общ. ред. А. Н. Лейбовича. – М.: Издательство «Перо» 2017. – 321 с.</w:t>
      </w:r>
    </w:p>
    <w:p w14:paraId="6610D489" w14:textId="77777777" w:rsidR="008F1DFB" w:rsidRPr="007A3503" w:rsidRDefault="008F1DFB" w:rsidP="008F1DFB">
      <w:pPr>
        <w:pStyle w:val="1"/>
        <w:spacing w:line="276" w:lineRule="auto"/>
        <w:ind w:left="0"/>
        <w:rPr>
          <w:rFonts w:ascii="Times New Roman" w:eastAsia="Times New Roman" w:hAnsi="Times New Roman" w:cs="Times New Roman"/>
          <w:bCs/>
        </w:rPr>
      </w:pPr>
    </w:p>
    <w:p w14:paraId="2EB67A84" w14:textId="77777777" w:rsidR="008F1DFB" w:rsidRPr="007A3503" w:rsidRDefault="008F1DFB" w:rsidP="008F1DFB">
      <w:pPr>
        <w:pStyle w:val="1"/>
        <w:spacing w:line="276" w:lineRule="auto"/>
        <w:ind w:left="0"/>
        <w:rPr>
          <w:rFonts w:ascii="Times New Roman" w:eastAsia="Times New Roman" w:hAnsi="Times New Roman" w:cs="Times New Roman"/>
          <w:b/>
        </w:rPr>
      </w:pPr>
      <w:r w:rsidRPr="007A3503">
        <w:rPr>
          <w:rFonts w:ascii="Times New Roman" w:eastAsia="Times New Roman" w:hAnsi="Times New Roman" w:cs="Times New Roman"/>
          <w:b/>
        </w:rPr>
        <w:t>7. Оценка качества освоения программы</w:t>
      </w:r>
    </w:p>
    <w:p w14:paraId="2986DF43" w14:textId="77777777" w:rsidR="008F1DFB" w:rsidRPr="007A3503" w:rsidRDefault="008F1DFB" w:rsidP="008F1DFB">
      <w:pPr>
        <w:ind w:left="-567" w:firstLine="567"/>
        <w:jc w:val="both"/>
        <w:rPr>
          <w:rFonts w:ascii="Times New Roman" w:hAnsi="Times New Roman"/>
          <w:sz w:val="22"/>
          <w:szCs w:val="22"/>
        </w:rPr>
      </w:pPr>
      <w:r w:rsidRPr="007A3503">
        <w:rPr>
          <w:rFonts w:ascii="Times New Roman" w:hAnsi="Times New Roman"/>
          <w:sz w:val="22"/>
          <w:szCs w:val="22"/>
        </w:rPr>
        <w:t>Промежуточная аттестация проводится в форме тестирования и защиты практического кейса.</w:t>
      </w:r>
    </w:p>
    <w:p w14:paraId="2CA31316" w14:textId="5484F098" w:rsidR="00BE13CC" w:rsidRDefault="008F1DFB" w:rsidP="008F1DFB">
      <w:pPr>
        <w:ind w:left="-567" w:firstLine="567"/>
        <w:jc w:val="both"/>
      </w:pPr>
      <w:r w:rsidRPr="007A3503">
        <w:rPr>
          <w:rFonts w:ascii="Times New Roman" w:hAnsi="Times New Roman"/>
          <w:sz w:val="22"/>
          <w:szCs w:val="22"/>
        </w:rPr>
        <w:t>Итоговая аттестация проводится в форме профессионального экзамена.</w:t>
      </w:r>
    </w:p>
    <w:sectPr w:rsidR="00BE1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45865"/>
    <w:multiLevelType w:val="hybridMultilevel"/>
    <w:tmpl w:val="E3108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BE1394"/>
    <w:multiLevelType w:val="hybridMultilevel"/>
    <w:tmpl w:val="99B6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0007DD"/>
    <w:multiLevelType w:val="hybridMultilevel"/>
    <w:tmpl w:val="824A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FB"/>
    <w:rsid w:val="008F1DFB"/>
    <w:rsid w:val="00BE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F3BF"/>
  <w15:chartTrackingRefBased/>
  <w15:docId w15:val="{10CBDC00-E244-4773-98EA-C33CD65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FB"/>
    <w:pPr>
      <w:spacing w:after="0" w:line="240" w:lineRule="auto"/>
    </w:pPr>
    <w:rPr>
      <w:rFonts w:ascii="Garamond" w:eastAsia="Times New Roman" w:hAnsi="Garamond"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0"/>
    <w:uiPriority w:val="99"/>
    <w:locked/>
    <w:rsid w:val="008F1DFB"/>
    <w:rPr>
      <w:rFonts w:ascii="Sylfaen" w:hAnsi="Sylfaen"/>
      <w:sz w:val="24"/>
      <w:shd w:val="clear" w:color="auto" w:fill="FFFFFF"/>
    </w:rPr>
  </w:style>
  <w:style w:type="character" w:customStyle="1" w:styleId="6">
    <w:name w:val="Основной текст6"/>
    <w:uiPriority w:val="99"/>
    <w:rsid w:val="008F1DFB"/>
    <w:rPr>
      <w:rFonts w:ascii="Sylfaen" w:hAnsi="Sylfaen" w:cs="Sylfaen"/>
      <w:sz w:val="24"/>
      <w:szCs w:val="24"/>
      <w:shd w:val="clear" w:color="auto" w:fill="FFFFFF"/>
    </w:rPr>
  </w:style>
  <w:style w:type="paragraph" w:customStyle="1" w:styleId="20">
    <w:name w:val="Основной текст20"/>
    <w:basedOn w:val="a"/>
    <w:link w:val="a3"/>
    <w:uiPriority w:val="99"/>
    <w:rsid w:val="008F1DFB"/>
    <w:pPr>
      <w:shd w:val="clear" w:color="auto" w:fill="FFFFFF"/>
      <w:spacing w:after="660" w:line="322" w:lineRule="exact"/>
      <w:jc w:val="center"/>
    </w:pPr>
    <w:rPr>
      <w:rFonts w:ascii="Sylfaen" w:eastAsiaTheme="minorHAnsi" w:hAnsi="Sylfaen" w:cstheme="minorBidi"/>
      <w:szCs w:val="22"/>
      <w:lang w:eastAsia="en-US"/>
    </w:rPr>
  </w:style>
  <w:style w:type="character" w:customStyle="1" w:styleId="7">
    <w:name w:val="Основной текст7"/>
    <w:uiPriority w:val="99"/>
    <w:rsid w:val="008F1DFB"/>
    <w:rPr>
      <w:rFonts w:ascii="Sylfaen" w:hAnsi="Sylfaen"/>
      <w:spacing w:val="0"/>
      <w:sz w:val="24"/>
      <w:shd w:val="clear" w:color="auto" w:fill="FFFFFF"/>
    </w:rPr>
  </w:style>
  <w:style w:type="paragraph" w:styleId="a4">
    <w:name w:val="List Paragraph"/>
    <w:basedOn w:val="a"/>
    <w:uiPriority w:val="34"/>
    <w:qFormat/>
    <w:rsid w:val="008F1DFB"/>
    <w:pPr>
      <w:ind w:left="708"/>
    </w:pPr>
    <w:rPr>
      <w:rFonts w:ascii="Times New Roman" w:hAnsi="Times New Roman"/>
    </w:rPr>
  </w:style>
  <w:style w:type="paragraph" w:customStyle="1" w:styleId="1">
    <w:name w:val="Обычный1"/>
    <w:rsid w:val="008F1DFB"/>
    <w:pPr>
      <w:pBdr>
        <w:top w:val="nil"/>
        <w:left w:val="nil"/>
        <w:bottom w:val="nil"/>
        <w:right w:val="nil"/>
        <w:between w:val="nil"/>
      </w:pBdr>
      <w:spacing w:after="0" w:line="360" w:lineRule="auto"/>
      <w:ind w:left="794"/>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prof.ru/about/nsp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Пилюгина Полина Сергеевна</dc:creator>
  <cp:keywords/>
  <dc:description/>
  <cp:lastModifiedBy>Пилюгина Полина Сергеевна</cp:lastModifiedBy>
  <cp:revision>1</cp:revision>
  <dcterms:created xsi:type="dcterms:W3CDTF">2020-08-03T16:26:00Z</dcterms:created>
  <dcterms:modified xsi:type="dcterms:W3CDTF">2020-08-03T16:28:00Z</dcterms:modified>
</cp:coreProperties>
</file>